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报价一览表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和县畅途汽车租赁有限公司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根据贵单位采购东风本田2023款CR-V车辆规格要求，我单位报价如下：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和县畅途汽车租赁有限公司采购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东风本田2023款CR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V项目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（人民币）</w:t>
            </w:r>
          </w:p>
        </w:tc>
        <w:tc>
          <w:tcPr>
            <w:tcW w:w="66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总报价：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若贵单位能选择我单位作为此次车辆的供应商，我单位承诺如下：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我们会按照公告的车型要求如期提供车辆（出产日期不得超过六个月，不得提供运损车）；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我们会提供优质的服务包括售后服务。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00" w:firstLineChars="10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728B5"/>
    <w:multiLevelType w:val="singleLevel"/>
    <w:tmpl w:val="25E72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56887DAA"/>
    <w:rsid w:val="196A48BC"/>
    <w:rsid w:val="568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2023-08-02T01:48:00Z</dcterms:created>
  <dc:creator>萌萌哒</dc:creator>
  <cp:lastModifiedBy>萌萌哒</cp:lastModifiedBy>
  <dcterms:modified xsi:type="dcterms:W3CDTF">2023-08-02T01:52:03Z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8BB7254D42F4433DAA3A403673885697_13</vt:lpwstr>
  </property>
</Properties>
</file>