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报价一览表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车辆保险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CTQC-2023-002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</w:t>
            </w:r>
            <w:bookmarkStart w:id="0" w:name="_GoBack"/>
            <w:bookmarkEnd w:id="0"/>
          </w:p>
        </w:tc>
        <w:tc>
          <w:tcPr>
            <w:tcW w:w="632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自主定价系数：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大写：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  <w:t>注：上述总投标价，指统保险种（车辆损失险、第三者责任险、车上人员责任险）自主定价系数。机动车辆交通事故责任强制险，按保险监管部门制定的《机动车交通事故责任强制保险费率方案》（以最新版本为准）的统一规定执行，不参与报价。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48227785"/>
    <w:rsid w:val="48227785"/>
    <w:rsid w:val="747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2023-08-14T06:47:00Z</dcterms:created>
  <dc:creator>萌萌哒</dc:creator>
  <cp:lastModifiedBy>萌萌哒</cp:lastModifiedBy>
  <dcterms:modified xsi:type="dcterms:W3CDTF">2023-08-14T07:01:52Z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F86153AEBEF54B598BAB984F2C89510E_11</vt:lpwstr>
  </property>
</Properties>
</file>