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2"/>
          <w:szCs w:val="32"/>
        </w:rPr>
      </w:pPr>
      <w:r>
        <w:rPr>
          <w:rFonts w:hint="eastAsia"/>
          <w:sz w:val="32"/>
          <w:szCs w:val="32"/>
          <w:lang w:val="en-US" w:eastAsia="zh-CN"/>
        </w:rPr>
        <w:t>和县规划科技馆4D影院</w:t>
      </w:r>
      <w:r>
        <w:rPr>
          <w:rFonts w:hint="eastAsia"/>
          <w:sz w:val="32"/>
          <w:szCs w:val="32"/>
        </w:rPr>
        <w:t>项目</w:t>
      </w:r>
      <w:r>
        <w:rPr>
          <w:rFonts w:hint="eastAsia"/>
          <w:sz w:val="32"/>
          <w:szCs w:val="32"/>
          <w:lang w:val="en-US" w:eastAsia="zh-CN"/>
        </w:rPr>
        <w:t>监理</w:t>
      </w:r>
      <w:r>
        <w:rPr>
          <w:rFonts w:hint="eastAsia"/>
          <w:sz w:val="32"/>
          <w:szCs w:val="32"/>
        </w:rPr>
        <w:t>公开</w:t>
      </w:r>
      <w:r>
        <w:rPr>
          <w:rFonts w:hint="eastAsia"/>
          <w:sz w:val="32"/>
          <w:szCs w:val="32"/>
          <w:lang w:val="en-US" w:eastAsia="zh-CN"/>
        </w:rPr>
        <w:t>比选</w:t>
      </w:r>
      <w:r>
        <w:rPr>
          <w:rFonts w:hint="eastAsia"/>
          <w:sz w:val="32"/>
          <w:szCs w:val="32"/>
        </w:rPr>
        <w:t>公告</w:t>
      </w:r>
    </w:p>
    <w:p>
      <w:pPr>
        <w:numPr>
          <w:ilvl w:val="0"/>
          <w:numId w:val="1"/>
        </w:numPr>
        <w:rPr>
          <w:sz w:val="28"/>
          <w:szCs w:val="28"/>
        </w:rPr>
      </w:pPr>
      <w:r>
        <w:rPr>
          <w:rFonts w:hint="eastAsia"/>
          <w:sz w:val="28"/>
          <w:szCs w:val="28"/>
        </w:rPr>
        <w:t>项目基本情况</w:t>
      </w:r>
    </w:p>
    <w:p>
      <w:pPr>
        <w:numPr>
          <w:ilvl w:val="0"/>
          <w:numId w:val="2"/>
        </w:numPr>
        <w:ind w:firstLine="560" w:firstLineChars="200"/>
        <w:rPr>
          <w:sz w:val="28"/>
          <w:szCs w:val="28"/>
        </w:rPr>
      </w:pPr>
      <w:r>
        <w:rPr>
          <w:rFonts w:hint="eastAsia"/>
          <w:sz w:val="28"/>
          <w:szCs w:val="28"/>
        </w:rPr>
        <w:t>项目编号：HZ</w:t>
      </w:r>
      <w:r>
        <w:rPr>
          <w:rFonts w:hint="eastAsia"/>
          <w:sz w:val="28"/>
          <w:szCs w:val="28"/>
          <w:lang w:val="en-US" w:eastAsia="zh-CN"/>
        </w:rPr>
        <w:t>ZY-2023-002</w:t>
      </w:r>
      <w:r>
        <w:rPr>
          <w:rFonts w:hint="eastAsia"/>
          <w:sz w:val="28"/>
          <w:szCs w:val="28"/>
        </w:rPr>
        <w:t>；</w:t>
      </w:r>
    </w:p>
    <w:p>
      <w:pPr>
        <w:numPr>
          <w:ilvl w:val="0"/>
          <w:numId w:val="2"/>
        </w:numPr>
        <w:ind w:firstLine="560" w:firstLineChars="200"/>
        <w:rPr>
          <w:sz w:val="28"/>
          <w:szCs w:val="28"/>
        </w:rPr>
      </w:pPr>
      <w:r>
        <w:rPr>
          <w:rFonts w:hint="eastAsia"/>
          <w:sz w:val="28"/>
          <w:szCs w:val="28"/>
        </w:rPr>
        <w:t>项目名称：</w:t>
      </w:r>
      <w:r>
        <w:rPr>
          <w:rFonts w:hint="eastAsia"/>
          <w:sz w:val="28"/>
          <w:szCs w:val="28"/>
          <w:lang w:val="en-US" w:eastAsia="zh-CN"/>
        </w:rPr>
        <w:t>和县规划科技馆4D影院项目监理</w:t>
      </w:r>
      <w:r>
        <w:rPr>
          <w:rFonts w:hint="eastAsia"/>
          <w:sz w:val="28"/>
          <w:szCs w:val="28"/>
        </w:rPr>
        <w:t>；</w:t>
      </w:r>
    </w:p>
    <w:p>
      <w:pPr>
        <w:numPr>
          <w:ilvl w:val="0"/>
          <w:numId w:val="2"/>
        </w:numPr>
        <w:ind w:left="0" w:leftChars="0" w:firstLine="560" w:firstLineChars="200"/>
        <w:rPr>
          <w:rFonts w:hint="eastAsia"/>
          <w:sz w:val="28"/>
          <w:szCs w:val="28"/>
          <w:lang w:eastAsia="zh-CN"/>
        </w:rPr>
      </w:pPr>
      <w:r>
        <w:rPr>
          <w:rFonts w:hint="eastAsia"/>
          <w:sz w:val="28"/>
          <w:szCs w:val="28"/>
        </w:rPr>
        <w:t>采购预算（限价）：</w:t>
      </w:r>
      <w:r>
        <w:rPr>
          <w:rFonts w:hint="eastAsia"/>
          <w:sz w:val="28"/>
          <w:szCs w:val="28"/>
          <w:lang w:val="en-US" w:eastAsia="zh-CN"/>
        </w:rPr>
        <w:t>6</w:t>
      </w:r>
      <w:r>
        <w:rPr>
          <w:rFonts w:hint="eastAsia"/>
          <w:sz w:val="28"/>
          <w:szCs w:val="28"/>
        </w:rPr>
        <w:t>万元</w:t>
      </w:r>
      <w:r>
        <w:rPr>
          <w:rFonts w:hint="eastAsia"/>
          <w:sz w:val="28"/>
          <w:szCs w:val="28"/>
          <w:lang w:eastAsia="zh-CN"/>
        </w:rPr>
        <w:t>；</w:t>
      </w:r>
    </w:p>
    <w:p>
      <w:pPr>
        <w:numPr>
          <w:ilvl w:val="0"/>
          <w:numId w:val="2"/>
        </w:numPr>
        <w:ind w:left="0" w:leftChars="0" w:firstLine="560" w:firstLineChars="200"/>
        <w:rPr>
          <w:rFonts w:hint="eastAsia"/>
          <w:sz w:val="28"/>
          <w:szCs w:val="28"/>
          <w:lang w:eastAsia="zh-CN"/>
        </w:rPr>
      </w:pPr>
      <w:r>
        <w:rPr>
          <w:rFonts w:hint="eastAsia"/>
          <w:sz w:val="28"/>
          <w:szCs w:val="28"/>
          <w:lang w:val="en-US" w:eastAsia="zh-CN"/>
        </w:rPr>
        <w:t>评审办法：综合评分法。</w:t>
      </w:r>
    </w:p>
    <w:p>
      <w:pPr>
        <w:rPr>
          <w:sz w:val="28"/>
          <w:szCs w:val="28"/>
        </w:rPr>
      </w:pPr>
      <w:r>
        <w:rPr>
          <w:rFonts w:hint="eastAsia"/>
          <w:sz w:val="28"/>
          <w:szCs w:val="28"/>
        </w:rPr>
        <w:t>二、供货商资质要求</w:t>
      </w:r>
    </w:p>
    <w:p>
      <w:pPr>
        <w:ind w:firstLine="560" w:firstLineChars="200"/>
        <w:rPr>
          <w:rFonts w:hint="eastAsia" w:eastAsiaTheme="minorEastAsia"/>
          <w:sz w:val="28"/>
          <w:szCs w:val="28"/>
          <w:lang w:eastAsia="zh-CN"/>
        </w:rPr>
      </w:pPr>
      <w:r>
        <w:rPr>
          <w:rFonts w:hint="eastAsia"/>
          <w:sz w:val="28"/>
          <w:szCs w:val="28"/>
        </w:rPr>
        <w:t>1.满足《中华人民共和国政府采购法》第二十二条规定</w:t>
      </w:r>
      <w:r>
        <w:rPr>
          <w:rFonts w:hint="eastAsia"/>
          <w:sz w:val="28"/>
          <w:szCs w:val="28"/>
          <w:lang w:eastAsia="zh-CN"/>
        </w:rPr>
        <w:t>；</w:t>
      </w:r>
      <w:bookmarkStart w:id="0" w:name="_GoBack"/>
      <w:bookmarkEnd w:id="0"/>
    </w:p>
    <w:p>
      <w:pPr>
        <w:numPr>
          <w:ilvl w:val="0"/>
          <w:numId w:val="0"/>
        </w:numPr>
        <w:ind w:firstLine="560" w:firstLineChars="200"/>
        <w:jc w:val="left"/>
        <w:rPr>
          <w:sz w:val="28"/>
          <w:szCs w:val="28"/>
        </w:rPr>
      </w:pPr>
      <w:r>
        <w:rPr>
          <w:rFonts w:hint="eastAsia"/>
          <w:sz w:val="28"/>
          <w:szCs w:val="28"/>
          <w:lang w:val="en-US" w:eastAsia="zh-CN"/>
        </w:rPr>
        <w:t>2.</w:t>
      </w:r>
      <w:r>
        <w:rPr>
          <w:rFonts w:hint="eastAsia"/>
          <w:sz w:val="28"/>
          <w:szCs w:val="28"/>
        </w:rPr>
        <w:t>具有独立法人资格，具有有效的企业法人营业执照； </w:t>
      </w:r>
    </w:p>
    <w:p>
      <w:pPr>
        <w:numPr>
          <w:ilvl w:val="0"/>
          <w:numId w:val="0"/>
        </w:numPr>
        <w:ind w:firstLine="560" w:firstLineChars="200"/>
        <w:jc w:val="left"/>
        <w:rPr>
          <w:rFonts w:hint="eastAsia" w:eastAsiaTheme="minorEastAsia"/>
          <w:sz w:val="28"/>
          <w:szCs w:val="28"/>
          <w:lang w:eastAsia="zh-CN"/>
        </w:rPr>
      </w:pPr>
      <w:r>
        <w:rPr>
          <w:rFonts w:hint="eastAsia"/>
          <w:sz w:val="28"/>
          <w:szCs w:val="28"/>
          <w:lang w:val="en-US" w:eastAsia="zh-CN"/>
        </w:rPr>
        <w:t>3.</w:t>
      </w:r>
      <w:r>
        <w:rPr>
          <w:rFonts w:hint="eastAsia"/>
          <w:sz w:val="28"/>
          <w:szCs w:val="28"/>
        </w:rPr>
        <w:t>投标人资质要求：投标人须具备有效的住建部颁发的房屋建筑工程、机电工程专业监理丙级及以上资质和工程监理综合资质</w:t>
      </w:r>
      <w:r>
        <w:rPr>
          <w:rFonts w:hint="eastAsia"/>
          <w:sz w:val="28"/>
          <w:szCs w:val="28"/>
          <w:lang w:eastAsia="zh-CN"/>
        </w:rPr>
        <w:t>；</w:t>
      </w:r>
    </w:p>
    <w:p>
      <w:pPr>
        <w:numPr>
          <w:ilvl w:val="0"/>
          <w:numId w:val="0"/>
        </w:numPr>
        <w:ind w:firstLine="560" w:firstLineChars="200"/>
        <w:jc w:val="left"/>
        <w:rPr>
          <w:rFonts w:hint="eastAsia" w:eastAsiaTheme="minorEastAsia"/>
          <w:sz w:val="28"/>
          <w:szCs w:val="28"/>
          <w:lang w:eastAsia="zh-CN"/>
        </w:rPr>
      </w:pPr>
      <w:r>
        <w:rPr>
          <w:rFonts w:hint="eastAsia"/>
          <w:sz w:val="28"/>
          <w:szCs w:val="28"/>
          <w:lang w:val="en-US" w:eastAsia="zh-CN"/>
        </w:rPr>
        <w:t>4.</w:t>
      </w:r>
      <w:r>
        <w:rPr>
          <w:rFonts w:hint="eastAsia"/>
          <w:sz w:val="28"/>
          <w:szCs w:val="28"/>
        </w:rPr>
        <w:t>总监理工程师要求：投标人拟委任总监理工程师须具备机电工程专业国家注册监理工程师执业资格</w:t>
      </w:r>
      <w:r>
        <w:rPr>
          <w:rFonts w:hint="eastAsia"/>
          <w:sz w:val="28"/>
          <w:szCs w:val="28"/>
          <w:lang w:eastAsia="zh-CN"/>
        </w:rPr>
        <w:t>；</w:t>
      </w:r>
    </w:p>
    <w:p>
      <w:pPr>
        <w:numPr>
          <w:ilvl w:val="0"/>
          <w:numId w:val="0"/>
        </w:numPr>
        <w:ind w:firstLine="560" w:firstLineChars="200"/>
        <w:jc w:val="left"/>
        <w:rPr>
          <w:color w:val="FF0000"/>
          <w:sz w:val="28"/>
          <w:szCs w:val="28"/>
        </w:rPr>
      </w:pPr>
      <w:r>
        <w:rPr>
          <w:rFonts w:hint="eastAsia"/>
          <w:sz w:val="28"/>
          <w:szCs w:val="28"/>
          <w:lang w:val="en-US" w:eastAsia="zh-CN"/>
        </w:rPr>
        <w:t>5.</w:t>
      </w:r>
      <w:r>
        <w:rPr>
          <w:rFonts w:hint="eastAsia"/>
          <w:sz w:val="28"/>
          <w:szCs w:val="28"/>
        </w:rPr>
        <w:t>投标人业绩要求：自2018年1月1日以来（以竣工验收时间为准），投标人具有单个合同工程中机电工程总投资额不少于200万元监理业绩；</w:t>
      </w:r>
      <w:r>
        <w:rPr>
          <w:rFonts w:hint="eastAsia" w:ascii="宋体" w:hAnsi="宋体" w:eastAsia="宋体" w:cs="宋体"/>
          <w:color w:val="FF0000"/>
          <w:kern w:val="0"/>
          <w:szCs w:val="21"/>
        </w:rPr>
        <w:t> </w:t>
      </w:r>
    </w:p>
    <w:p>
      <w:pPr>
        <w:numPr>
          <w:ilvl w:val="0"/>
          <w:numId w:val="0"/>
        </w:numPr>
        <w:ind w:firstLine="560" w:firstLineChars="200"/>
        <w:jc w:val="left"/>
        <w:rPr>
          <w:sz w:val="28"/>
          <w:szCs w:val="28"/>
        </w:rPr>
      </w:pPr>
      <w:r>
        <w:rPr>
          <w:rFonts w:hint="eastAsia"/>
          <w:sz w:val="28"/>
          <w:szCs w:val="28"/>
          <w:lang w:val="en-US" w:eastAsia="zh-CN"/>
        </w:rPr>
        <w:t>6.</w:t>
      </w:r>
      <w:r>
        <w:rPr>
          <w:rFonts w:hint="eastAsia"/>
          <w:sz w:val="28"/>
          <w:szCs w:val="28"/>
        </w:rPr>
        <w:t>本次比</w:t>
      </w:r>
      <w:r>
        <w:rPr>
          <w:rFonts w:hint="eastAsia"/>
          <w:sz w:val="28"/>
          <w:szCs w:val="28"/>
          <w:lang w:val="en-US" w:eastAsia="zh-CN"/>
        </w:rPr>
        <w:t>选</w:t>
      </w:r>
      <w:r>
        <w:rPr>
          <w:rFonts w:hint="eastAsia"/>
          <w:sz w:val="28"/>
          <w:szCs w:val="28"/>
        </w:rPr>
        <w:t>不接受联合体。</w:t>
      </w:r>
    </w:p>
    <w:p>
      <w:pPr>
        <w:rPr>
          <w:sz w:val="28"/>
          <w:szCs w:val="28"/>
        </w:rPr>
      </w:pPr>
      <w:r>
        <w:rPr>
          <w:rFonts w:hint="eastAsia"/>
          <w:sz w:val="28"/>
          <w:szCs w:val="28"/>
        </w:rPr>
        <w:t>三、</w:t>
      </w:r>
      <w:r>
        <w:rPr>
          <w:rFonts w:hint="eastAsia"/>
          <w:sz w:val="28"/>
          <w:szCs w:val="28"/>
          <w:lang w:val="en-US" w:eastAsia="zh-CN"/>
        </w:rPr>
        <w:t>文件获取</w:t>
      </w:r>
    </w:p>
    <w:p>
      <w:pPr>
        <w:ind w:firstLine="560" w:firstLineChars="200"/>
        <w:rPr>
          <w:rFonts w:hint="eastAsia" w:eastAsiaTheme="minorEastAsia"/>
          <w:sz w:val="28"/>
          <w:szCs w:val="28"/>
          <w:lang w:eastAsia="zh-CN"/>
        </w:rPr>
      </w:pPr>
      <w:r>
        <w:rPr>
          <w:rFonts w:hint="eastAsia"/>
          <w:sz w:val="28"/>
          <w:szCs w:val="28"/>
          <w:lang w:val="en-US" w:eastAsia="zh-CN"/>
        </w:rPr>
        <w:t>1.</w:t>
      </w:r>
      <w:r>
        <w:rPr>
          <w:rFonts w:hint="eastAsia"/>
          <w:sz w:val="28"/>
          <w:szCs w:val="28"/>
        </w:rPr>
        <w:t>时间：</w:t>
      </w:r>
      <w:r>
        <w:rPr>
          <w:rFonts w:hint="eastAsia"/>
          <w:sz w:val="28"/>
          <w:szCs w:val="28"/>
          <w:lang w:val="en-US" w:eastAsia="zh-CN"/>
        </w:rPr>
        <w:t>自公告之日起</w:t>
      </w:r>
      <w:r>
        <w:rPr>
          <w:rFonts w:hint="eastAsia"/>
          <w:sz w:val="28"/>
          <w:szCs w:val="28"/>
        </w:rPr>
        <w:t>至2023年</w:t>
      </w:r>
      <w:r>
        <w:rPr>
          <w:rFonts w:hint="eastAsia"/>
          <w:sz w:val="28"/>
          <w:szCs w:val="28"/>
          <w:lang w:val="en-US" w:eastAsia="zh-CN"/>
        </w:rPr>
        <w:t>11</w:t>
      </w:r>
      <w:r>
        <w:rPr>
          <w:rFonts w:hint="eastAsia"/>
          <w:sz w:val="28"/>
          <w:szCs w:val="28"/>
        </w:rPr>
        <w:t>月</w:t>
      </w:r>
      <w:r>
        <w:rPr>
          <w:rFonts w:hint="eastAsia"/>
          <w:sz w:val="28"/>
          <w:szCs w:val="28"/>
          <w:lang w:val="en-US" w:eastAsia="zh-CN"/>
        </w:rPr>
        <w:t>2</w:t>
      </w:r>
      <w:r>
        <w:rPr>
          <w:rFonts w:hint="eastAsia"/>
          <w:sz w:val="28"/>
          <w:szCs w:val="28"/>
        </w:rPr>
        <w:t>日</w:t>
      </w:r>
      <w:r>
        <w:rPr>
          <w:rFonts w:hint="eastAsia"/>
          <w:sz w:val="28"/>
          <w:szCs w:val="28"/>
          <w:lang w:val="en-US" w:eastAsia="zh-CN"/>
        </w:rPr>
        <w:t>0</w:t>
      </w:r>
      <w:r>
        <w:rPr>
          <w:rFonts w:hint="eastAsia"/>
          <w:sz w:val="28"/>
          <w:szCs w:val="28"/>
        </w:rPr>
        <w:t>9点00分（北京时间）</w:t>
      </w:r>
      <w:r>
        <w:rPr>
          <w:rFonts w:hint="eastAsia"/>
          <w:sz w:val="28"/>
          <w:szCs w:val="28"/>
          <w:lang w:eastAsia="zh-CN"/>
        </w:rPr>
        <w:t>；</w:t>
      </w:r>
    </w:p>
    <w:p>
      <w:pPr>
        <w:ind w:firstLine="560" w:firstLineChars="200"/>
        <w:rPr>
          <w:rFonts w:hint="eastAsia"/>
          <w:sz w:val="28"/>
          <w:szCs w:val="28"/>
          <w:lang w:eastAsia="zh-CN"/>
        </w:rPr>
      </w:pPr>
      <w:r>
        <w:rPr>
          <w:rFonts w:hint="eastAsia"/>
          <w:sz w:val="28"/>
          <w:szCs w:val="28"/>
          <w:lang w:val="en-US" w:eastAsia="zh-CN"/>
        </w:rPr>
        <w:t>2.</w:t>
      </w:r>
      <w:r>
        <w:rPr>
          <w:rFonts w:hint="eastAsia"/>
          <w:sz w:val="28"/>
          <w:szCs w:val="28"/>
        </w:rPr>
        <w:t>地点：安徽和州控股集团有限公司官网</w:t>
      </w:r>
      <w:r>
        <w:rPr>
          <w:rFonts w:hint="eastAsia"/>
          <w:sz w:val="28"/>
          <w:szCs w:val="28"/>
          <w:lang w:eastAsia="zh-CN"/>
        </w:rPr>
        <w:t>；</w:t>
      </w:r>
    </w:p>
    <w:p>
      <w:pPr>
        <w:ind w:firstLine="560" w:firstLineChars="200"/>
        <w:rPr>
          <w:rFonts w:hint="eastAsia"/>
          <w:sz w:val="28"/>
          <w:szCs w:val="28"/>
        </w:rPr>
      </w:pPr>
      <w:r>
        <w:rPr>
          <w:rFonts w:hint="eastAsia"/>
          <w:sz w:val="28"/>
          <w:szCs w:val="28"/>
          <w:lang w:val="en-US" w:eastAsia="zh-CN"/>
        </w:rPr>
        <w:t>3.</w:t>
      </w:r>
      <w:r>
        <w:rPr>
          <w:rFonts w:hint="eastAsia"/>
          <w:sz w:val="28"/>
          <w:szCs w:val="28"/>
        </w:rPr>
        <w:t>方式：进入安徽和州控股集团有限公司官网（https://www.ahhzkg.com）获取电子版采购文件，不再发出纸质文件。</w:t>
      </w:r>
    </w:p>
    <w:p>
      <w:pPr>
        <w:ind w:firstLine="560" w:firstLineChars="200"/>
        <w:rPr>
          <w:rFonts w:hint="eastAsia"/>
          <w:sz w:val="28"/>
          <w:szCs w:val="28"/>
        </w:rPr>
      </w:pPr>
      <w:r>
        <w:rPr>
          <w:rFonts w:hint="eastAsia"/>
          <w:sz w:val="28"/>
          <w:szCs w:val="28"/>
        </w:rPr>
        <w:t>售价：0元</w:t>
      </w:r>
    </w:p>
    <w:p>
      <w:pPr>
        <w:rPr>
          <w:rFonts w:hint="eastAsia"/>
          <w:sz w:val="28"/>
          <w:szCs w:val="28"/>
        </w:rPr>
      </w:pPr>
      <w:r>
        <w:rPr>
          <w:rFonts w:hint="eastAsia"/>
          <w:sz w:val="28"/>
          <w:szCs w:val="28"/>
          <w:lang w:val="en-US" w:eastAsia="zh-CN"/>
        </w:rPr>
        <w:t>四</w:t>
      </w:r>
      <w:r>
        <w:rPr>
          <w:rFonts w:hint="eastAsia"/>
          <w:sz w:val="28"/>
          <w:szCs w:val="28"/>
        </w:rPr>
        <w:t>、响应文件提交</w:t>
      </w:r>
    </w:p>
    <w:p>
      <w:pPr>
        <w:ind w:firstLine="560" w:firstLineChars="200"/>
        <w:rPr>
          <w:rFonts w:hint="eastAsia"/>
          <w:sz w:val="28"/>
          <w:szCs w:val="28"/>
        </w:rPr>
      </w:pPr>
      <w:r>
        <w:rPr>
          <w:rFonts w:hint="eastAsia"/>
          <w:sz w:val="28"/>
          <w:szCs w:val="28"/>
        </w:rPr>
        <w:t>1</w:t>
      </w:r>
      <w:r>
        <w:rPr>
          <w:rFonts w:hint="eastAsia"/>
          <w:sz w:val="28"/>
          <w:szCs w:val="28"/>
          <w:lang w:eastAsia="zh-CN"/>
        </w:rPr>
        <w:t>.</w:t>
      </w:r>
      <w:r>
        <w:rPr>
          <w:rFonts w:hint="eastAsia"/>
          <w:sz w:val="28"/>
          <w:szCs w:val="28"/>
        </w:rPr>
        <w:t>截止时间：2023年</w:t>
      </w:r>
      <w:r>
        <w:rPr>
          <w:rFonts w:hint="eastAsia"/>
          <w:sz w:val="28"/>
          <w:szCs w:val="28"/>
          <w:lang w:val="en-US" w:eastAsia="zh-CN"/>
        </w:rPr>
        <w:t>11</w:t>
      </w:r>
      <w:r>
        <w:rPr>
          <w:rFonts w:hint="eastAsia"/>
          <w:sz w:val="28"/>
          <w:szCs w:val="28"/>
        </w:rPr>
        <w:t>月</w:t>
      </w:r>
      <w:r>
        <w:rPr>
          <w:rFonts w:hint="eastAsia"/>
          <w:sz w:val="28"/>
          <w:szCs w:val="28"/>
          <w:lang w:val="en-US" w:eastAsia="zh-CN"/>
        </w:rPr>
        <w:t>2</w:t>
      </w:r>
      <w:r>
        <w:rPr>
          <w:rFonts w:hint="eastAsia"/>
          <w:sz w:val="28"/>
          <w:szCs w:val="28"/>
        </w:rPr>
        <w:t>日09时00分（北京时间）；</w:t>
      </w:r>
    </w:p>
    <w:p>
      <w:pPr>
        <w:ind w:firstLine="560" w:firstLineChars="200"/>
        <w:rPr>
          <w:rFonts w:hint="eastAsia"/>
          <w:sz w:val="28"/>
          <w:szCs w:val="28"/>
        </w:rPr>
      </w:pPr>
      <w:r>
        <w:rPr>
          <w:rFonts w:hint="eastAsia"/>
          <w:sz w:val="28"/>
          <w:szCs w:val="28"/>
        </w:rPr>
        <w:t>2</w:t>
      </w:r>
      <w:r>
        <w:rPr>
          <w:rFonts w:hint="eastAsia"/>
          <w:sz w:val="28"/>
          <w:szCs w:val="28"/>
          <w:lang w:eastAsia="zh-CN"/>
        </w:rPr>
        <w:t>.</w:t>
      </w:r>
      <w:r>
        <w:rPr>
          <w:rFonts w:hint="eastAsia"/>
          <w:sz w:val="28"/>
          <w:szCs w:val="28"/>
        </w:rPr>
        <w:t>递交方式（现场递交）：响应文件提交截止时间前，递交纸质版响应文件，纸质文件递交地址：安徽省马鞍山市和县历阳镇</w:t>
      </w:r>
      <w:r>
        <w:rPr>
          <w:rFonts w:hint="eastAsia"/>
          <w:sz w:val="28"/>
          <w:szCs w:val="28"/>
          <w:lang w:val="en-US" w:eastAsia="zh-CN"/>
        </w:rPr>
        <w:t>陋室西街328号文化大厦旁安徽和州控股集团有限公司</w:t>
      </w:r>
      <w:r>
        <w:rPr>
          <w:rFonts w:hint="eastAsia"/>
          <w:sz w:val="28"/>
          <w:szCs w:val="28"/>
        </w:rPr>
        <w:t>；</w:t>
      </w:r>
    </w:p>
    <w:p>
      <w:pPr>
        <w:ind w:firstLine="560" w:firstLineChars="200"/>
        <w:rPr>
          <w:rFonts w:hint="default" w:eastAsiaTheme="minorEastAsia"/>
          <w:sz w:val="28"/>
          <w:szCs w:val="28"/>
          <w:lang w:val="en-US" w:eastAsia="zh-CN"/>
        </w:rPr>
      </w:pPr>
      <w:r>
        <w:rPr>
          <w:rFonts w:hint="eastAsia"/>
          <w:sz w:val="28"/>
          <w:szCs w:val="28"/>
        </w:rPr>
        <w:t>供应商提交的响应文件：响应文件正本1份，副本5份</w:t>
      </w:r>
      <w:r>
        <w:rPr>
          <w:rFonts w:hint="eastAsia"/>
          <w:sz w:val="28"/>
          <w:szCs w:val="28"/>
          <w:lang w:eastAsia="zh-CN"/>
        </w:rPr>
        <w:t>，</w:t>
      </w:r>
      <w:r>
        <w:rPr>
          <w:rFonts w:hint="eastAsia"/>
          <w:sz w:val="28"/>
          <w:szCs w:val="28"/>
          <w:lang w:val="en-US" w:eastAsia="zh-CN"/>
        </w:rPr>
        <w:t>密封提交。</w:t>
      </w:r>
    </w:p>
    <w:p>
      <w:pPr>
        <w:rPr>
          <w:rFonts w:hint="eastAsia"/>
          <w:sz w:val="28"/>
          <w:szCs w:val="28"/>
        </w:rPr>
      </w:pPr>
      <w:r>
        <w:rPr>
          <w:rFonts w:hint="eastAsia"/>
          <w:sz w:val="28"/>
          <w:szCs w:val="28"/>
        </w:rPr>
        <w:t>四、开启</w:t>
      </w:r>
    </w:p>
    <w:p>
      <w:pPr>
        <w:ind w:firstLine="560" w:firstLineChars="200"/>
        <w:rPr>
          <w:sz w:val="28"/>
          <w:szCs w:val="28"/>
        </w:rPr>
      </w:pPr>
      <w:r>
        <w:rPr>
          <w:sz w:val="28"/>
          <w:szCs w:val="28"/>
        </w:rPr>
        <w:t>1</w:t>
      </w:r>
      <w:r>
        <w:rPr>
          <w:rFonts w:hint="eastAsia"/>
          <w:sz w:val="28"/>
          <w:szCs w:val="28"/>
        </w:rPr>
        <w:t>.时间：2023年</w:t>
      </w:r>
      <w:r>
        <w:rPr>
          <w:rFonts w:hint="eastAsia"/>
          <w:sz w:val="28"/>
          <w:szCs w:val="28"/>
          <w:lang w:val="en-US" w:eastAsia="zh-CN"/>
        </w:rPr>
        <w:t>11</w:t>
      </w:r>
      <w:r>
        <w:rPr>
          <w:rFonts w:hint="eastAsia"/>
          <w:sz w:val="28"/>
          <w:szCs w:val="28"/>
        </w:rPr>
        <w:t>月</w:t>
      </w:r>
      <w:r>
        <w:rPr>
          <w:rFonts w:hint="eastAsia"/>
          <w:sz w:val="28"/>
          <w:szCs w:val="28"/>
          <w:lang w:val="en-US" w:eastAsia="zh-CN"/>
        </w:rPr>
        <w:t>2</w:t>
      </w:r>
      <w:r>
        <w:rPr>
          <w:rFonts w:hint="eastAsia"/>
          <w:sz w:val="28"/>
          <w:szCs w:val="28"/>
        </w:rPr>
        <w:t>日</w:t>
      </w:r>
      <w:r>
        <w:rPr>
          <w:rFonts w:hint="eastAsia"/>
          <w:sz w:val="28"/>
          <w:szCs w:val="28"/>
          <w:lang w:val="en-US" w:eastAsia="zh-CN"/>
        </w:rPr>
        <w:t>09</w:t>
      </w:r>
      <w:r>
        <w:rPr>
          <w:rFonts w:hint="eastAsia"/>
          <w:sz w:val="28"/>
          <w:szCs w:val="28"/>
        </w:rPr>
        <w:t>点</w:t>
      </w:r>
      <w:r>
        <w:rPr>
          <w:rFonts w:hint="eastAsia"/>
          <w:sz w:val="28"/>
          <w:szCs w:val="28"/>
          <w:lang w:val="en-US" w:eastAsia="zh-CN"/>
        </w:rPr>
        <w:t>0</w:t>
      </w:r>
      <w:r>
        <w:rPr>
          <w:rFonts w:hint="eastAsia"/>
          <w:sz w:val="28"/>
          <w:szCs w:val="28"/>
        </w:rPr>
        <w:t>0分（北京时间）；</w:t>
      </w:r>
    </w:p>
    <w:p>
      <w:pPr>
        <w:ind w:firstLine="560" w:firstLineChars="200"/>
        <w:rPr>
          <w:rFonts w:hint="eastAsia" w:eastAsiaTheme="minorEastAsia"/>
          <w:sz w:val="28"/>
          <w:szCs w:val="28"/>
          <w:lang w:eastAsia="zh-CN"/>
        </w:rPr>
      </w:pPr>
      <w:r>
        <w:rPr>
          <w:sz w:val="28"/>
          <w:szCs w:val="28"/>
        </w:rPr>
        <w:t>2</w:t>
      </w:r>
      <w:r>
        <w:rPr>
          <w:rFonts w:hint="eastAsia"/>
          <w:sz w:val="28"/>
          <w:szCs w:val="28"/>
        </w:rPr>
        <w:t>.地点：安徽省马鞍山市和县历阳镇</w:t>
      </w:r>
      <w:r>
        <w:rPr>
          <w:rFonts w:hint="eastAsia"/>
          <w:sz w:val="28"/>
          <w:szCs w:val="28"/>
          <w:lang w:val="en-US" w:eastAsia="zh-CN"/>
        </w:rPr>
        <w:t>陋室西街328号文化大厦旁安徽和州控股集团有限公司</w:t>
      </w:r>
      <w:r>
        <w:rPr>
          <w:rFonts w:hint="eastAsia"/>
          <w:sz w:val="28"/>
          <w:szCs w:val="28"/>
          <w:lang w:eastAsia="zh-CN"/>
        </w:rPr>
        <w:t>。</w:t>
      </w:r>
    </w:p>
    <w:p>
      <w:pPr>
        <w:rPr>
          <w:sz w:val="28"/>
          <w:szCs w:val="28"/>
        </w:rPr>
      </w:pPr>
      <w:r>
        <w:rPr>
          <w:rFonts w:hint="eastAsia"/>
          <w:sz w:val="28"/>
          <w:szCs w:val="28"/>
          <w:lang w:val="en-US" w:eastAsia="zh-CN"/>
        </w:rPr>
        <w:t>五</w:t>
      </w:r>
      <w:r>
        <w:rPr>
          <w:rFonts w:hint="eastAsia"/>
          <w:sz w:val="28"/>
          <w:szCs w:val="28"/>
        </w:rPr>
        <w:t>、公示</w:t>
      </w:r>
    </w:p>
    <w:p>
      <w:pPr>
        <w:ind w:firstLine="560" w:firstLineChars="200"/>
        <w:rPr>
          <w:rFonts w:hint="eastAsia"/>
          <w:sz w:val="28"/>
          <w:szCs w:val="28"/>
        </w:rPr>
      </w:pPr>
      <w:r>
        <w:rPr>
          <w:rFonts w:hint="eastAsia"/>
          <w:sz w:val="28"/>
          <w:szCs w:val="28"/>
        </w:rPr>
        <w:t>结果将在和州控股集团官方网站上发布，网站名称：和州控股，网址:https://www.ahhzkg.com/</w:t>
      </w:r>
    </w:p>
    <w:p>
      <w:pPr>
        <w:rPr>
          <w:sz w:val="28"/>
          <w:szCs w:val="28"/>
        </w:rPr>
      </w:pPr>
      <w:r>
        <w:rPr>
          <w:rFonts w:hint="eastAsia"/>
          <w:sz w:val="28"/>
          <w:szCs w:val="28"/>
          <w:lang w:val="en-US" w:eastAsia="zh-CN"/>
        </w:rPr>
        <w:t>六</w:t>
      </w:r>
      <w:r>
        <w:rPr>
          <w:rFonts w:hint="eastAsia"/>
          <w:sz w:val="28"/>
          <w:szCs w:val="28"/>
        </w:rPr>
        <w:t>、联系方式</w:t>
      </w:r>
    </w:p>
    <w:p>
      <w:pPr>
        <w:ind w:firstLine="560" w:firstLineChars="200"/>
        <w:rPr>
          <w:sz w:val="28"/>
          <w:szCs w:val="28"/>
        </w:rPr>
      </w:pPr>
      <w:r>
        <w:rPr>
          <w:rFonts w:hint="eastAsia"/>
          <w:sz w:val="28"/>
          <w:szCs w:val="28"/>
        </w:rPr>
        <w:t>采购单位：</w:t>
      </w:r>
      <w:r>
        <w:rPr>
          <w:rFonts w:hint="eastAsia"/>
          <w:sz w:val="28"/>
          <w:szCs w:val="28"/>
          <w:lang w:val="en-US" w:eastAsia="zh-CN"/>
        </w:rPr>
        <w:t>和县和州置业</w:t>
      </w:r>
      <w:r>
        <w:rPr>
          <w:rFonts w:hint="eastAsia"/>
          <w:sz w:val="28"/>
          <w:szCs w:val="28"/>
        </w:rPr>
        <w:t>有限</w:t>
      </w:r>
      <w:r>
        <w:rPr>
          <w:rFonts w:hint="eastAsia"/>
          <w:sz w:val="28"/>
          <w:szCs w:val="28"/>
          <w:lang w:val="en-US" w:eastAsia="zh-CN"/>
        </w:rPr>
        <w:t>责任</w:t>
      </w:r>
      <w:r>
        <w:rPr>
          <w:rFonts w:hint="eastAsia"/>
          <w:sz w:val="28"/>
          <w:szCs w:val="28"/>
        </w:rPr>
        <w:t xml:space="preserve">公司   </w:t>
      </w:r>
    </w:p>
    <w:p>
      <w:pPr>
        <w:ind w:firstLine="560" w:firstLineChars="200"/>
        <w:rPr>
          <w:sz w:val="28"/>
          <w:szCs w:val="28"/>
        </w:rPr>
      </w:pPr>
      <w:r>
        <w:rPr>
          <w:rFonts w:hint="eastAsia"/>
          <w:sz w:val="28"/>
          <w:szCs w:val="28"/>
        </w:rPr>
        <w:t xml:space="preserve">地址：安徽省马鞍山市和县历阳镇陋室西街328号文化大厦旁安徽和州控股集团有限公司      </w:t>
      </w:r>
    </w:p>
    <w:p>
      <w:pPr>
        <w:ind w:firstLine="560" w:firstLineChars="200"/>
        <w:rPr>
          <w:sz w:val="28"/>
          <w:szCs w:val="28"/>
        </w:rPr>
      </w:pPr>
      <w:r>
        <w:rPr>
          <w:rFonts w:hint="eastAsia"/>
          <w:sz w:val="28"/>
          <w:szCs w:val="28"/>
        </w:rPr>
        <w:t>联系人</w:t>
      </w:r>
      <w:r>
        <w:rPr>
          <w:rFonts w:hint="eastAsia"/>
          <w:sz w:val="28"/>
          <w:szCs w:val="28"/>
          <w:lang w:eastAsia="zh-CN"/>
        </w:rPr>
        <w:t>：</w:t>
      </w:r>
      <w:r>
        <w:rPr>
          <w:rFonts w:hint="eastAsia"/>
          <w:sz w:val="28"/>
          <w:szCs w:val="28"/>
          <w:lang w:val="en-US" w:eastAsia="zh-CN"/>
        </w:rPr>
        <w:t xml:space="preserve">范文超   </w:t>
      </w:r>
      <w:r>
        <w:rPr>
          <w:rFonts w:hint="eastAsia"/>
          <w:sz w:val="28"/>
          <w:szCs w:val="28"/>
        </w:rPr>
        <w:t xml:space="preserve">钱锦              </w:t>
      </w:r>
    </w:p>
    <w:p>
      <w:pPr>
        <w:ind w:firstLine="560" w:firstLineChars="200"/>
        <w:rPr>
          <w:rFonts w:hint="eastAsia"/>
          <w:sz w:val="28"/>
          <w:szCs w:val="28"/>
        </w:rPr>
      </w:pPr>
      <w:r>
        <w:rPr>
          <w:rFonts w:hint="eastAsia"/>
          <w:sz w:val="28"/>
          <w:szCs w:val="28"/>
        </w:rPr>
        <w:t>电话</w:t>
      </w:r>
      <w:r>
        <w:rPr>
          <w:rFonts w:hint="eastAsia"/>
          <w:sz w:val="28"/>
          <w:szCs w:val="28"/>
          <w:lang w:eastAsia="zh-CN"/>
        </w:rPr>
        <w:t>：</w:t>
      </w:r>
      <w:r>
        <w:rPr>
          <w:rFonts w:hint="eastAsia"/>
          <w:sz w:val="28"/>
          <w:szCs w:val="28"/>
          <w:lang w:val="en-US" w:eastAsia="zh-CN"/>
        </w:rPr>
        <w:t>15850675305    18271399953</w:t>
      </w:r>
      <w:r>
        <w:rPr>
          <w:rFonts w:hint="eastAsia"/>
          <w:sz w:val="28"/>
          <w:szCs w:val="28"/>
        </w:rPr>
        <w:t xml:space="preserve"> </w:t>
      </w:r>
    </w:p>
    <w:p>
      <w:pPr>
        <w:ind w:firstLine="560" w:firstLineChars="200"/>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sz w:val="28"/>
          <w:szCs w:val="28"/>
        </w:rPr>
      </w:pPr>
      <w:r>
        <w:rPr>
          <w:rFonts w:hint="eastAsia"/>
          <w:sz w:val="28"/>
          <w:szCs w:val="28"/>
        </w:rPr>
        <w:t>附件</w:t>
      </w:r>
      <w:r>
        <w:rPr>
          <w:rFonts w:hint="eastAsia"/>
          <w:sz w:val="28"/>
          <w:szCs w:val="28"/>
          <w:lang w:val="en-US" w:eastAsia="zh-CN"/>
        </w:rPr>
        <w:t>1</w:t>
      </w:r>
      <w:r>
        <w:rPr>
          <w:rFonts w:hint="eastAsia"/>
          <w:sz w:val="28"/>
          <w:szCs w:val="28"/>
        </w:rPr>
        <w:t>：</w:t>
      </w:r>
    </w:p>
    <w:p>
      <w:pPr>
        <w:jc w:val="center"/>
        <w:rPr>
          <w:b/>
          <w:bCs/>
          <w:sz w:val="44"/>
          <w:szCs w:val="44"/>
        </w:rPr>
      </w:pPr>
      <w:r>
        <w:rPr>
          <w:rFonts w:hint="eastAsia"/>
          <w:b/>
          <w:bCs/>
          <w:sz w:val="44"/>
          <w:szCs w:val="44"/>
        </w:rPr>
        <w:t>报价单</w:t>
      </w:r>
    </w:p>
    <w:tbl>
      <w:tblPr>
        <w:tblStyle w:val="7"/>
        <w:tblpPr w:leftFromText="180" w:rightFromText="180" w:vertAnchor="text" w:horzAnchor="page" w:tblpXSpec="center" w:tblpY="438"/>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57"/>
        <w:gridCol w:w="6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jc w:val="center"/>
        </w:trPr>
        <w:tc>
          <w:tcPr>
            <w:tcW w:w="1857" w:type="dxa"/>
            <w:vAlign w:val="center"/>
          </w:tcPr>
          <w:p>
            <w:pPr>
              <w:jc w:val="center"/>
              <w:rPr>
                <w:sz w:val="28"/>
                <w:szCs w:val="28"/>
              </w:rPr>
            </w:pPr>
            <w:r>
              <w:rPr>
                <w:rFonts w:hint="eastAsia"/>
                <w:sz w:val="28"/>
                <w:szCs w:val="28"/>
              </w:rPr>
              <w:t>项目名称</w:t>
            </w:r>
          </w:p>
        </w:tc>
        <w:tc>
          <w:tcPr>
            <w:tcW w:w="6327" w:type="dxa"/>
            <w:vAlign w:val="center"/>
          </w:tcPr>
          <w:p>
            <w:pPr>
              <w:jc w:val="center"/>
              <w:rPr>
                <w:sz w:val="28"/>
                <w:szCs w:val="28"/>
              </w:rPr>
            </w:pPr>
            <w:r>
              <w:rPr>
                <w:rFonts w:hint="eastAsia"/>
                <w:sz w:val="28"/>
                <w:szCs w:val="28"/>
                <w:lang w:val="en-US" w:eastAsia="zh-CN"/>
              </w:rPr>
              <w:t>和县规划科技馆4D影院项目监理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3" w:hRule="atLeast"/>
          <w:jc w:val="center"/>
        </w:trPr>
        <w:tc>
          <w:tcPr>
            <w:tcW w:w="1857" w:type="dxa"/>
            <w:vAlign w:val="center"/>
          </w:tcPr>
          <w:p>
            <w:pPr>
              <w:jc w:val="center"/>
              <w:rPr>
                <w:sz w:val="28"/>
                <w:szCs w:val="28"/>
              </w:rPr>
            </w:pPr>
            <w:r>
              <w:rPr>
                <w:rFonts w:hint="eastAsia"/>
                <w:sz w:val="28"/>
                <w:szCs w:val="28"/>
              </w:rPr>
              <w:t>供应商</w:t>
            </w:r>
          </w:p>
          <w:p>
            <w:pPr>
              <w:jc w:val="center"/>
              <w:rPr>
                <w:sz w:val="28"/>
                <w:szCs w:val="28"/>
              </w:rPr>
            </w:pPr>
            <w:r>
              <w:rPr>
                <w:rFonts w:hint="eastAsia"/>
                <w:sz w:val="28"/>
                <w:szCs w:val="28"/>
              </w:rPr>
              <w:t>名称</w:t>
            </w:r>
          </w:p>
        </w:tc>
        <w:tc>
          <w:tcPr>
            <w:tcW w:w="6327" w:type="dxa"/>
          </w:tcPr>
          <w:p>
            <w:pPr>
              <w:rPr>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3" w:hRule="atLeast"/>
          <w:jc w:val="center"/>
        </w:trPr>
        <w:tc>
          <w:tcPr>
            <w:tcW w:w="1857" w:type="dxa"/>
            <w:vAlign w:val="center"/>
          </w:tcPr>
          <w:p>
            <w:pPr>
              <w:jc w:val="center"/>
              <w:rPr>
                <w:sz w:val="28"/>
                <w:szCs w:val="28"/>
              </w:rPr>
            </w:pPr>
            <w:r>
              <w:rPr>
                <w:rFonts w:hint="eastAsia"/>
                <w:sz w:val="28"/>
                <w:szCs w:val="28"/>
              </w:rPr>
              <w:t>总报价</w:t>
            </w:r>
          </w:p>
          <w:p>
            <w:pPr>
              <w:jc w:val="center"/>
              <w:rPr>
                <w:sz w:val="28"/>
                <w:szCs w:val="28"/>
              </w:rPr>
            </w:pPr>
            <w:r>
              <w:rPr>
                <w:rFonts w:hint="eastAsia"/>
                <w:sz w:val="28"/>
                <w:szCs w:val="28"/>
              </w:rPr>
              <w:t>（人民币）</w:t>
            </w:r>
          </w:p>
        </w:tc>
        <w:tc>
          <w:tcPr>
            <w:tcW w:w="6327" w:type="dxa"/>
          </w:tcPr>
          <w:p>
            <w:pPr>
              <w:rPr>
                <w:sz w:val="28"/>
                <w:szCs w:val="28"/>
              </w:rPr>
            </w:pPr>
            <w:r>
              <w:rPr>
                <w:rFonts w:hint="eastAsia"/>
                <w:sz w:val="28"/>
                <w:szCs w:val="28"/>
              </w:rPr>
              <w:t>总报价：</w:t>
            </w:r>
          </w:p>
          <w:p>
            <w:pPr>
              <w:rPr>
                <w:sz w:val="28"/>
                <w:szCs w:val="28"/>
              </w:rPr>
            </w:pPr>
            <w:r>
              <w:rPr>
                <w:rFonts w:hint="eastAsia"/>
                <w:sz w:val="28"/>
                <w:szCs w:val="28"/>
              </w:rPr>
              <w:t>大写：</w:t>
            </w:r>
          </w:p>
          <w:p>
            <w:pPr>
              <w:rPr>
                <w:sz w:val="28"/>
                <w:szCs w:val="28"/>
              </w:rPr>
            </w:pPr>
            <w:r>
              <w:rPr>
                <w:rFonts w:hint="eastAsia"/>
                <w:sz w:val="28"/>
                <w:szCs w:val="28"/>
              </w:rPr>
              <w:t>小写：</w:t>
            </w:r>
          </w:p>
        </w:tc>
      </w:tr>
    </w:tbl>
    <w:p>
      <w:pPr>
        <w:ind w:firstLine="560" w:firstLineChars="200"/>
        <w:rPr>
          <w:sz w:val="28"/>
          <w:szCs w:val="28"/>
        </w:rPr>
      </w:pPr>
    </w:p>
    <w:p>
      <w:pPr>
        <w:ind w:firstLine="560" w:firstLineChars="200"/>
        <w:rPr>
          <w:sz w:val="28"/>
          <w:szCs w:val="28"/>
        </w:rPr>
      </w:pPr>
      <w:r>
        <w:rPr>
          <w:rFonts w:hint="eastAsia"/>
          <w:sz w:val="28"/>
          <w:szCs w:val="28"/>
        </w:rPr>
        <w:t>若贵单位能选择我作为此次</w:t>
      </w:r>
      <w:r>
        <w:rPr>
          <w:rFonts w:hint="eastAsia"/>
          <w:sz w:val="28"/>
          <w:szCs w:val="28"/>
          <w:lang w:val="en-US" w:eastAsia="zh-CN"/>
        </w:rPr>
        <w:t>和县规划科技馆4D影院项目监理</w:t>
      </w:r>
      <w:r>
        <w:rPr>
          <w:rFonts w:hint="eastAsia"/>
          <w:sz w:val="28"/>
          <w:szCs w:val="28"/>
        </w:rPr>
        <w:t>的供应商，我单位将承诺会按照公告的要求如期提供</w:t>
      </w:r>
      <w:r>
        <w:rPr>
          <w:rFonts w:hint="eastAsia"/>
          <w:sz w:val="28"/>
          <w:szCs w:val="28"/>
          <w:lang w:val="en-US" w:eastAsia="zh-CN"/>
        </w:rPr>
        <w:t>监理。</w:t>
      </w:r>
    </w:p>
    <w:p>
      <w:pPr>
        <w:ind w:firstLine="2800" w:firstLineChars="1000"/>
        <w:rPr>
          <w:sz w:val="28"/>
          <w:szCs w:val="28"/>
        </w:rPr>
      </w:pPr>
    </w:p>
    <w:p>
      <w:pPr>
        <w:ind w:firstLine="2800" w:firstLineChars="1000"/>
        <w:rPr>
          <w:sz w:val="28"/>
          <w:szCs w:val="28"/>
        </w:rPr>
      </w:pPr>
      <w:r>
        <w:rPr>
          <w:rFonts w:hint="eastAsia"/>
          <w:sz w:val="28"/>
          <w:szCs w:val="28"/>
        </w:rPr>
        <w:t>供应商（盖章）：</w:t>
      </w:r>
    </w:p>
    <w:p>
      <w:pPr>
        <w:jc w:val="center"/>
        <w:rPr>
          <w:sz w:val="28"/>
          <w:szCs w:val="28"/>
        </w:rPr>
      </w:pPr>
      <w:r>
        <w:rPr>
          <w:rFonts w:hint="eastAsia"/>
          <w:sz w:val="28"/>
          <w:szCs w:val="28"/>
        </w:rPr>
        <w:t xml:space="preserve">                          日期：    年   月   日</w:t>
      </w:r>
    </w:p>
    <w:p>
      <w:pPr>
        <w:jc w:val="both"/>
        <w:rPr>
          <w:rFonts w:hint="eastAsia" w:ascii="仿宋_GB2312" w:hAnsi="仿宋_GB2312" w:eastAsia="仿宋_GB2312" w:cs="仿宋_GB2312"/>
          <w:b w:val="0"/>
          <w:bCs w:val="0"/>
          <w:color w:val="000000"/>
          <w:kern w:val="2"/>
          <w:sz w:val="32"/>
          <w:szCs w:val="32"/>
          <w:highlight w:val="none"/>
          <w:u w:val="none"/>
          <w:lang w:val="en-US" w:eastAsia="zh-CN" w:bidi="zh-CN"/>
        </w:rPr>
      </w:pPr>
    </w:p>
    <w:p>
      <w:pPr>
        <w:jc w:val="both"/>
        <w:rPr>
          <w:rFonts w:hint="eastAsia" w:ascii="仿宋_GB2312" w:hAnsi="仿宋_GB2312" w:eastAsia="仿宋_GB2312" w:cs="仿宋_GB2312"/>
          <w:b w:val="0"/>
          <w:bCs w:val="0"/>
          <w:color w:val="000000"/>
          <w:kern w:val="2"/>
          <w:sz w:val="32"/>
          <w:szCs w:val="32"/>
          <w:highlight w:val="none"/>
          <w:u w:val="none"/>
          <w:lang w:val="en-US" w:eastAsia="zh-CN" w:bidi="zh-CN"/>
        </w:rPr>
      </w:pPr>
    </w:p>
    <w:p>
      <w:pPr>
        <w:jc w:val="both"/>
        <w:rPr>
          <w:rFonts w:hint="eastAsia" w:ascii="仿宋_GB2312" w:hAnsi="仿宋_GB2312" w:eastAsia="仿宋_GB2312" w:cs="仿宋_GB2312"/>
          <w:b w:val="0"/>
          <w:bCs w:val="0"/>
          <w:color w:val="000000"/>
          <w:kern w:val="2"/>
          <w:sz w:val="32"/>
          <w:szCs w:val="32"/>
          <w:highlight w:val="none"/>
          <w:u w:val="none"/>
          <w:lang w:val="en-US" w:eastAsia="zh-CN" w:bidi="zh-CN"/>
        </w:rPr>
      </w:pPr>
    </w:p>
    <w:p>
      <w:pPr>
        <w:jc w:val="both"/>
        <w:rPr>
          <w:rFonts w:hint="eastAsia" w:ascii="仿宋_GB2312" w:hAnsi="仿宋_GB2312" w:eastAsia="仿宋_GB2312" w:cs="仿宋_GB2312"/>
          <w:b w:val="0"/>
          <w:bCs w:val="0"/>
          <w:color w:val="000000"/>
          <w:kern w:val="2"/>
          <w:sz w:val="32"/>
          <w:szCs w:val="32"/>
          <w:highlight w:val="none"/>
          <w:u w:val="none"/>
          <w:lang w:val="en-US" w:eastAsia="zh-CN" w:bidi="zh-CN"/>
        </w:rPr>
      </w:pPr>
    </w:p>
    <w:p>
      <w:pPr>
        <w:jc w:val="both"/>
        <w:rPr>
          <w:rFonts w:hint="eastAsia" w:ascii="仿宋_GB2312" w:hAnsi="仿宋_GB2312" w:eastAsia="仿宋_GB2312" w:cs="仿宋_GB2312"/>
          <w:b w:val="0"/>
          <w:bCs w:val="0"/>
          <w:color w:val="000000"/>
          <w:kern w:val="2"/>
          <w:sz w:val="32"/>
          <w:szCs w:val="32"/>
          <w:highlight w:val="none"/>
          <w:u w:val="none"/>
          <w:lang w:val="en-US" w:eastAsia="zh-CN" w:bidi="zh-CN"/>
        </w:rPr>
      </w:pPr>
    </w:p>
    <w:p>
      <w:pPr>
        <w:jc w:val="both"/>
        <w:rPr>
          <w:rFonts w:hint="eastAsia" w:ascii="仿宋_GB2312" w:hAnsi="仿宋_GB2312" w:eastAsia="仿宋_GB2312" w:cs="仿宋_GB2312"/>
          <w:b w:val="0"/>
          <w:bCs w:val="0"/>
          <w:color w:val="000000"/>
          <w:kern w:val="2"/>
          <w:sz w:val="32"/>
          <w:szCs w:val="32"/>
          <w:highlight w:val="none"/>
          <w:u w:val="none"/>
          <w:lang w:val="en-US" w:eastAsia="zh-CN" w:bidi="zh-CN"/>
        </w:rPr>
      </w:pPr>
    </w:p>
    <w:p>
      <w:pPr>
        <w:jc w:val="both"/>
        <w:rPr>
          <w:rFonts w:hint="eastAsia" w:ascii="仿宋_GB2312" w:hAnsi="仿宋_GB2312" w:eastAsia="仿宋_GB2312" w:cs="仿宋_GB2312"/>
          <w:b w:val="0"/>
          <w:bCs w:val="0"/>
          <w:color w:val="000000"/>
          <w:kern w:val="2"/>
          <w:sz w:val="32"/>
          <w:szCs w:val="32"/>
          <w:highlight w:val="none"/>
          <w:u w:val="none"/>
          <w:lang w:val="en-US" w:eastAsia="zh-CN" w:bidi="zh-CN"/>
        </w:rPr>
      </w:pPr>
    </w:p>
    <w:p>
      <w:pPr>
        <w:jc w:val="both"/>
        <w:rPr>
          <w:rFonts w:hint="default"/>
          <w:lang w:val="en-US" w:eastAsia="zh-CN"/>
        </w:rPr>
      </w:pPr>
      <w:r>
        <w:rPr>
          <w:rFonts w:hint="eastAsia" w:ascii="仿宋_GB2312" w:hAnsi="仿宋_GB2312" w:eastAsia="仿宋_GB2312" w:cs="仿宋_GB2312"/>
          <w:b w:val="0"/>
          <w:bCs w:val="0"/>
          <w:color w:val="000000"/>
          <w:kern w:val="2"/>
          <w:sz w:val="32"/>
          <w:szCs w:val="32"/>
          <w:highlight w:val="none"/>
          <w:u w:val="none"/>
          <w:lang w:val="en-US" w:eastAsia="zh-CN" w:bidi="zh-CN"/>
        </w:rPr>
        <w:t xml:space="preserve">附件2 </w:t>
      </w:r>
    </w:p>
    <w:p>
      <w:pPr>
        <w:jc w:val="center"/>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和县规划科技馆4D影院项目监理评分细则</w:t>
      </w:r>
    </w:p>
    <w:tbl>
      <w:tblPr>
        <w:tblStyle w:val="6"/>
        <w:tblW w:w="966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155"/>
        <w:gridCol w:w="675"/>
        <w:gridCol w:w="716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664" w:type="dxa"/>
            <w:noWrap w:val="0"/>
            <w:vAlign w:val="center"/>
          </w:tcPr>
          <w:p>
            <w:pPr>
              <w:adjustRightInd w:val="0"/>
              <w:snapToGrid w:val="0"/>
              <w:spacing w:line="360" w:lineRule="exact"/>
              <w:jc w:val="center"/>
              <w:textAlignment w:val="baseline"/>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rPr>
              <w:t>序号</w:t>
            </w:r>
          </w:p>
        </w:tc>
        <w:tc>
          <w:tcPr>
            <w:tcW w:w="1155" w:type="dxa"/>
            <w:noWrap w:val="0"/>
            <w:vAlign w:val="center"/>
          </w:tcPr>
          <w:p>
            <w:pPr>
              <w:adjustRightInd w:val="0"/>
              <w:snapToGrid w:val="0"/>
              <w:spacing w:line="360" w:lineRule="exact"/>
              <w:jc w:val="center"/>
              <w:textAlignment w:val="baseline"/>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rPr>
              <w:t>评分</w:t>
            </w:r>
          </w:p>
          <w:p>
            <w:pPr>
              <w:adjustRightInd w:val="0"/>
              <w:snapToGrid w:val="0"/>
              <w:spacing w:line="360" w:lineRule="exact"/>
              <w:jc w:val="center"/>
              <w:textAlignment w:val="baseline"/>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rPr>
              <w:t>内容</w:t>
            </w:r>
          </w:p>
        </w:tc>
        <w:tc>
          <w:tcPr>
            <w:tcW w:w="675" w:type="dxa"/>
            <w:noWrap w:val="0"/>
            <w:vAlign w:val="center"/>
          </w:tcPr>
          <w:p>
            <w:pPr>
              <w:adjustRightInd w:val="0"/>
              <w:snapToGrid w:val="0"/>
              <w:spacing w:line="360" w:lineRule="exact"/>
              <w:jc w:val="center"/>
              <w:textAlignment w:val="baseline"/>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rPr>
              <w:t>分值</w:t>
            </w:r>
          </w:p>
        </w:tc>
        <w:tc>
          <w:tcPr>
            <w:tcW w:w="7166" w:type="dxa"/>
            <w:noWrap w:val="0"/>
            <w:vAlign w:val="center"/>
          </w:tcPr>
          <w:p>
            <w:pPr>
              <w:adjustRightInd w:val="0"/>
              <w:snapToGrid w:val="0"/>
              <w:spacing w:line="360" w:lineRule="exact"/>
              <w:jc w:val="center"/>
              <w:textAlignment w:val="baseline"/>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664" w:type="dxa"/>
            <w:noWrap w:val="0"/>
            <w:vAlign w:val="center"/>
          </w:tcPr>
          <w:p>
            <w:pPr>
              <w:adjustRightInd w:val="0"/>
              <w:snapToGrid w:val="0"/>
              <w:spacing w:line="360" w:lineRule="exact"/>
              <w:jc w:val="center"/>
              <w:textAlignment w:val="baseline"/>
              <w:rPr>
                <w:rFonts w:hint="eastAsia" w:ascii="仿宋_GB2312" w:hAnsi="仿宋_GB2312" w:eastAsia="仿宋_GB2312" w:cs="仿宋_GB2312"/>
                <w:snapToGrid w:val="0"/>
                <w:color w:val="000000"/>
                <w:kern w:val="0"/>
                <w:sz w:val="21"/>
                <w:szCs w:val="21"/>
                <w:highlight w:val="none"/>
              </w:rPr>
            </w:pPr>
            <w:r>
              <w:rPr>
                <w:rFonts w:hint="eastAsia" w:ascii="仿宋_GB2312" w:hAnsi="仿宋_GB2312" w:eastAsia="仿宋_GB2312" w:cs="仿宋_GB2312"/>
                <w:snapToGrid w:val="0"/>
                <w:color w:val="000000"/>
                <w:kern w:val="0"/>
                <w:sz w:val="21"/>
                <w:szCs w:val="21"/>
                <w:highlight w:val="none"/>
              </w:rPr>
              <w:t>1</w:t>
            </w:r>
          </w:p>
        </w:tc>
        <w:tc>
          <w:tcPr>
            <w:tcW w:w="1155" w:type="dxa"/>
            <w:noWrap w:val="0"/>
            <w:vAlign w:val="center"/>
          </w:tcPr>
          <w:p>
            <w:pPr>
              <w:adjustRightInd w:val="0"/>
              <w:snapToGrid w:val="0"/>
              <w:spacing w:line="360" w:lineRule="exact"/>
              <w:jc w:val="center"/>
              <w:textAlignment w:val="baseline"/>
              <w:rPr>
                <w:rFonts w:hint="default" w:ascii="仿宋_GB2312" w:hAnsi="仿宋_GB2312" w:eastAsia="仿宋_GB2312" w:cs="仿宋_GB2312"/>
                <w:snapToGrid w:val="0"/>
                <w:color w:val="000000"/>
                <w:kern w:val="0"/>
                <w:sz w:val="21"/>
                <w:szCs w:val="21"/>
                <w:highlight w:val="none"/>
                <w:lang w:val="en-US"/>
              </w:rPr>
            </w:pPr>
            <w:r>
              <w:rPr>
                <w:rFonts w:hint="eastAsia" w:ascii="仿宋_GB2312" w:hAnsi="仿宋_GB2312" w:eastAsia="仿宋_GB2312" w:cs="仿宋_GB2312"/>
                <w:snapToGrid w:val="0"/>
                <w:color w:val="000000"/>
                <w:kern w:val="0"/>
                <w:sz w:val="21"/>
                <w:szCs w:val="21"/>
                <w:highlight w:val="none"/>
                <w:lang w:val="en-US" w:eastAsia="zh-CN"/>
              </w:rPr>
              <w:t>拟配备的项目总监</w:t>
            </w:r>
          </w:p>
        </w:tc>
        <w:tc>
          <w:tcPr>
            <w:tcW w:w="675" w:type="dxa"/>
            <w:noWrap w:val="0"/>
            <w:vAlign w:val="center"/>
          </w:tcPr>
          <w:p>
            <w:pPr>
              <w:adjustRightInd w:val="0"/>
              <w:snapToGrid w:val="0"/>
              <w:spacing w:line="360" w:lineRule="exact"/>
              <w:jc w:val="center"/>
              <w:textAlignment w:val="baseline"/>
              <w:rPr>
                <w:rFonts w:hint="default" w:ascii="仿宋_GB2312" w:hAnsi="仿宋_GB2312" w:eastAsia="仿宋_GB2312" w:cs="仿宋_GB2312"/>
                <w:snapToGrid w:val="0"/>
                <w:color w:val="000000"/>
                <w:kern w:val="0"/>
                <w:sz w:val="21"/>
                <w:szCs w:val="21"/>
                <w:highlight w:val="none"/>
                <w:lang w:val="en-US" w:eastAsia="zh-CN"/>
              </w:rPr>
            </w:pPr>
            <w:r>
              <w:rPr>
                <w:rFonts w:hint="eastAsia" w:ascii="仿宋_GB2312" w:hAnsi="仿宋_GB2312" w:eastAsia="仿宋_GB2312" w:cs="仿宋_GB2312"/>
                <w:snapToGrid w:val="0"/>
                <w:color w:val="000000"/>
                <w:kern w:val="0"/>
                <w:sz w:val="21"/>
                <w:szCs w:val="21"/>
                <w:highlight w:val="none"/>
                <w:lang w:val="en-US" w:eastAsia="zh-CN"/>
              </w:rPr>
              <w:t>10</w:t>
            </w:r>
          </w:p>
        </w:tc>
        <w:tc>
          <w:tcPr>
            <w:tcW w:w="7166" w:type="dxa"/>
            <w:noWrap w:val="0"/>
            <w:vAlign w:val="center"/>
          </w:tcPr>
          <w:p>
            <w:pPr>
              <w:adjustRightInd w:val="0"/>
              <w:snapToGrid w:val="0"/>
              <w:spacing w:line="360" w:lineRule="exact"/>
              <w:jc w:val="left"/>
              <w:textAlignment w:val="baseline"/>
              <w:rPr>
                <w:rFonts w:hint="eastAsia" w:ascii="仿宋_GB2312" w:hAnsi="仿宋_GB2312" w:eastAsia="仿宋_GB2312" w:cs="仿宋_GB2312"/>
                <w:snapToGrid w:val="0"/>
                <w:color w:val="000000"/>
                <w:kern w:val="0"/>
                <w:sz w:val="21"/>
                <w:szCs w:val="21"/>
                <w:highlight w:val="none"/>
              </w:rPr>
            </w:pPr>
            <w:r>
              <w:rPr>
                <w:rFonts w:hint="eastAsia" w:ascii="仿宋_GB2312" w:hAnsi="仿宋_GB2312" w:eastAsia="仿宋_GB2312" w:cs="仿宋_GB2312"/>
                <w:snapToGrid w:val="0"/>
                <w:color w:val="000000"/>
                <w:kern w:val="0"/>
                <w:sz w:val="21"/>
                <w:szCs w:val="21"/>
                <w:highlight w:val="none"/>
              </w:rPr>
              <w:t>结合总监业绩和对本项目的监理内容整体思路进行10分钟面试考核，由评标委员会进行综合打分，取所有评委打分的平均分为最后得分。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05" w:hRule="atLeast"/>
          <w:jc w:val="center"/>
        </w:trPr>
        <w:tc>
          <w:tcPr>
            <w:tcW w:w="664" w:type="dxa"/>
            <w:noWrap w:val="0"/>
            <w:vAlign w:val="center"/>
          </w:tcPr>
          <w:p>
            <w:pPr>
              <w:adjustRightInd w:val="0"/>
              <w:snapToGrid w:val="0"/>
              <w:spacing w:line="360" w:lineRule="exact"/>
              <w:jc w:val="center"/>
              <w:textAlignment w:val="baseline"/>
              <w:rPr>
                <w:rFonts w:hint="eastAsia" w:ascii="仿宋_GB2312" w:hAnsi="仿宋_GB2312" w:eastAsia="仿宋_GB2312" w:cs="仿宋_GB2312"/>
                <w:snapToGrid w:val="0"/>
                <w:color w:val="000000"/>
                <w:kern w:val="0"/>
                <w:sz w:val="21"/>
                <w:szCs w:val="21"/>
                <w:highlight w:val="none"/>
                <w:lang w:eastAsia="zh-CN"/>
              </w:rPr>
            </w:pPr>
            <w:r>
              <w:rPr>
                <w:rFonts w:hint="eastAsia" w:ascii="仿宋_GB2312" w:hAnsi="仿宋_GB2312" w:eastAsia="仿宋_GB2312" w:cs="仿宋_GB2312"/>
                <w:snapToGrid w:val="0"/>
                <w:color w:val="000000"/>
                <w:kern w:val="0"/>
                <w:sz w:val="21"/>
                <w:szCs w:val="21"/>
                <w:highlight w:val="none"/>
                <w:lang w:val="en-US" w:eastAsia="zh-CN"/>
              </w:rPr>
              <w:t>2</w:t>
            </w:r>
          </w:p>
        </w:tc>
        <w:tc>
          <w:tcPr>
            <w:tcW w:w="1155" w:type="dxa"/>
            <w:noWrap w:val="0"/>
            <w:vAlign w:val="center"/>
          </w:tcPr>
          <w:p>
            <w:pPr>
              <w:adjustRightInd w:val="0"/>
              <w:snapToGrid w:val="0"/>
              <w:spacing w:line="360" w:lineRule="exact"/>
              <w:jc w:val="center"/>
              <w:textAlignment w:val="baseline"/>
              <w:rPr>
                <w:rFonts w:hint="eastAsia" w:ascii="仿宋_GB2312" w:hAnsi="仿宋_GB2312" w:eastAsia="仿宋_GB2312" w:cs="仿宋_GB2312"/>
                <w:snapToGrid w:val="0"/>
                <w:color w:val="000000"/>
                <w:kern w:val="0"/>
                <w:sz w:val="21"/>
                <w:szCs w:val="21"/>
                <w:highlight w:val="none"/>
              </w:rPr>
            </w:pPr>
            <w:r>
              <w:rPr>
                <w:rFonts w:hint="eastAsia" w:ascii="仿宋_GB2312" w:hAnsi="仿宋_GB2312" w:eastAsia="仿宋_GB2312" w:cs="仿宋_GB2312"/>
                <w:snapToGrid w:val="0"/>
                <w:color w:val="000000"/>
                <w:kern w:val="0"/>
                <w:sz w:val="21"/>
                <w:szCs w:val="21"/>
                <w:highlight w:val="none"/>
                <w:lang w:val="en-US" w:eastAsia="zh-CN"/>
              </w:rPr>
              <w:t>服务方案</w:t>
            </w:r>
          </w:p>
        </w:tc>
        <w:tc>
          <w:tcPr>
            <w:tcW w:w="675" w:type="dxa"/>
            <w:noWrap w:val="0"/>
            <w:vAlign w:val="center"/>
          </w:tcPr>
          <w:p>
            <w:pPr>
              <w:adjustRightInd w:val="0"/>
              <w:snapToGrid w:val="0"/>
              <w:spacing w:line="360" w:lineRule="exact"/>
              <w:jc w:val="center"/>
              <w:textAlignment w:val="baseline"/>
              <w:rPr>
                <w:rFonts w:hint="default" w:ascii="仿宋_GB2312" w:hAnsi="仿宋_GB2312" w:eastAsia="仿宋_GB2312" w:cs="仿宋_GB2312"/>
                <w:snapToGrid w:val="0"/>
                <w:color w:val="000000"/>
                <w:kern w:val="0"/>
                <w:sz w:val="21"/>
                <w:szCs w:val="21"/>
                <w:highlight w:val="none"/>
                <w:lang w:val="en-US" w:eastAsia="zh-CN"/>
              </w:rPr>
            </w:pPr>
            <w:r>
              <w:rPr>
                <w:rFonts w:hint="eastAsia" w:ascii="仿宋_GB2312" w:hAnsi="仿宋_GB2312" w:eastAsia="仿宋_GB2312" w:cs="仿宋_GB2312"/>
                <w:snapToGrid w:val="0"/>
                <w:color w:val="000000"/>
                <w:kern w:val="0"/>
                <w:sz w:val="21"/>
                <w:szCs w:val="21"/>
                <w:highlight w:val="none"/>
                <w:lang w:val="en-US" w:eastAsia="zh-CN"/>
              </w:rPr>
              <w:t>40</w:t>
            </w:r>
          </w:p>
        </w:tc>
        <w:tc>
          <w:tcPr>
            <w:tcW w:w="7166" w:type="dxa"/>
            <w:noWrap w:val="0"/>
            <w:vAlign w:val="center"/>
          </w:tcPr>
          <w:p>
            <w:pPr>
              <w:pStyle w:val="9"/>
              <w:spacing w:line="360" w:lineRule="exact"/>
              <w:ind w:left="0"/>
              <w:rPr>
                <w:rFonts w:hint="eastAsia" w:ascii="仿宋_GB2312" w:hAnsi="仿宋_GB2312" w:eastAsia="仿宋_GB2312" w:cs="仿宋_GB2312"/>
                <w:snapToGrid w:val="0"/>
                <w:color w:val="000000"/>
                <w:kern w:val="0"/>
                <w:sz w:val="21"/>
                <w:szCs w:val="21"/>
                <w:highlight w:val="none"/>
              </w:rPr>
            </w:pPr>
            <w:r>
              <w:rPr>
                <w:rFonts w:hint="eastAsia" w:ascii="仿宋_GB2312" w:hAnsi="仿宋_GB2312" w:eastAsia="仿宋_GB2312" w:cs="仿宋_GB2312"/>
                <w:snapToGrid w:val="0"/>
                <w:color w:val="000000"/>
                <w:kern w:val="0"/>
                <w:sz w:val="21"/>
                <w:szCs w:val="21"/>
                <w:highlight w:val="none"/>
              </w:rPr>
              <w:t>1、综合比较投标人监理服务方案中对监理内容整体分析：</w:t>
            </w:r>
          </w:p>
          <w:p>
            <w:pPr>
              <w:pStyle w:val="9"/>
              <w:spacing w:line="360" w:lineRule="exact"/>
              <w:ind w:left="0"/>
              <w:rPr>
                <w:rFonts w:hint="eastAsia" w:ascii="仿宋_GB2312" w:hAnsi="仿宋_GB2312" w:eastAsia="仿宋_GB2312" w:cs="仿宋_GB2312"/>
                <w:snapToGrid w:val="0"/>
                <w:color w:val="000000"/>
                <w:kern w:val="0"/>
                <w:sz w:val="21"/>
                <w:szCs w:val="21"/>
                <w:highlight w:val="none"/>
              </w:rPr>
            </w:pPr>
            <w:r>
              <w:rPr>
                <w:rFonts w:hint="eastAsia" w:ascii="仿宋_GB2312" w:hAnsi="仿宋_GB2312" w:eastAsia="仿宋_GB2312" w:cs="仿宋_GB2312"/>
                <w:snapToGrid w:val="0"/>
                <w:color w:val="000000"/>
                <w:kern w:val="0"/>
                <w:sz w:val="21"/>
                <w:szCs w:val="21"/>
                <w:highlight w:val="none"/>
              </w:rPr>
              <w:t>（1）监理大纲内容全面、重点突出、制度健全、措施详细得当的，得4分；</w:t>
            </w:r>
          </w:p>
          <w:p>
            <w:pPr>
              <w:pStyle w:val="9"/>
              <w:spacing w:line="360" w:lineRule="exact"/>
              <w:ind w:left="0"/>
              <w:rPr>
                <w:rFonts w:hint="eastAsia" w:ascii="仿宋_GB2312" w:hAnsi="仿宋_GB2312" w:eastAsia="仿宋_GB2312" w:cs="仿宋_GB2312"/>
                <w:snapToGrid w:val="0"/>
                <w:color w:val="000000"/>
                <w:kern w:val="0"/>
                <w:sz w:val="21"/>
                <w:szCs w:val="21"/>
                <w:highlight w:val="none"/>
              </w:rPr>
            </w:pPr>
            <w:r>
              <w:rPr>
                <w:rFonts w:hint="eastAsia" w:ascii="仿宋_GB2312" w:hAnsi="仿宋_GB2312" w:eastAsia="仿宋_GB2312" w:cs="仿宋_GB2312"/>
                <w:snapToGrid w:val="0"/>
                <w:color w:val="000000"/>
                <w:kern w:val="0"/>
                <w:sz w:val="21"/>
                <w:szCs w:val="21"/>
                <w:highlight w:val="none"/>
              </w:rPr>
              <w:t>（2）监理大纲内容、重点、制度、措施贴合本项目的，得3分；</w:t>
            </w:r>
          </w:p>
          <w:p>
            <w:pPr>
              <w:pStyle w:val="9"/>
              <w:spacing w:line="360" w:lineRule="exact"/>
              <w:ind w:left="0"/>
              <w:rPr>
                <w:rFonts w:hint="eastAsia" w:ascii="仿宋_GB2312" w:hAnsi="仿宋_GB2312" w:eastAsia="仿宋_GB2312" w:cs="仿宋_GB2312"/>
                <w:snapToGrid w:val="0"/>
                <w:color w:val="000000"/>
                <w:kern w:val="0"/>
                <w:sz w:val="21"/>
                <w:szCs w:val="21"/>
                <w:highlight w:val="none"/>
              </w:rPr>
            </w:pPr>
            <w:r>
              <w:rPr>
                <w:rFonts w:hint="eastAsia" w:ascii="仿宋_GB2312" w:hAnsi="仿宋_GB2312" w:eastAsia="仿宋_GB2312" w:cs="仿宋_GB2312"/>
                <w:snapToGrid w:val="0"/>
                <w:color w:val="000000"/>
                <w:kern w:val="0"/>
                <w:sz w:val="21"/>
                <w:szCs w:val="21"/>
                <w:highlight w:val="none"/>
              </w:rPr>
              <w:t>（3）监理大纲内容、重点、制度、措施有待完善的，得1分；</w:t>
            </w:r>
          </w:p>
          <w:p>
            <w:pPr>
              <w:pStyle w:val="9"/>
              <w:spacing w:line="360" w:lineRule="exact"/>
              <w:ind w:left="0"/>
              <w:rPr>
                <w:rFonts w:hint="eastAsia" w:ascii="仿宋_GB2312" w:hAnsi="仿宋_GB2312" w:eastAsia="仿宋_GB2312" w:cs="仿宋_GB2312"/>
                <w:snapToGrid w:val="0"/>
                <w:color w:val="000000"/>
                <w:kern w:val="0"/>
                <w:sz w:val="21"/>
                <w:szCs w:val="21"/>
                <w:highlight w:val="none"/>
              </w:rPr>
            </w:pPr>
            <w:r>
              <w:rPr>
                <w:rFonts w:hint="eastAsia" w:ascii="仿宋_GB2312" w:hAnsi="仿宋_GB2312" w:eastAsia="仿宋_GB2312" w:cs="仿宋_GB2312"/>
                <w:snapToGrid w:val="0"/>
                <w:color w:val="000000"/>
                <w:kern w:val="0"/>
                <w:sz w:val="21"/>
                <w:szCs w:val="21"/>
                <w:highlight w:val="none"/>
              </w:rPr>
              <w:t>（4）未提供或不符合要求不得分。</w:t>
            </w:r>
          </w:p>
          <w:p>
            <w:pPr>
              <w:pStyle w:val="9"/>
              <w:spacing w:line="360" w:lineRule="exact"/>
              <w:ind w:left="0"/>
              <w:rPr>
                <w:rFonts w:hint="eastAsia" w:ascii="仿宋_GB2312" w:hAnsi="仿宋_GB2312" w:eastAsia="仿宋_GB2312" w:cs="仿宋_GB2312"/>
                <w:snapToGrid w:val="0"/>
                <w:color w:val="000000"/>
                <w:kern w:val="0"/>
                <w:sz w:val="21"/>
                <w:szCs w:val="21"/>
                <w:highlight w:val="none"/>
              </w:rPr>
            </w:pPr>
            <w:r>
              <w:rPr>
                <w:rFonts w:hint="eastAsia" w:ascii="仿宋_GB2312" w:hAnsi="仿宋_GB2312" w:eastAsia="仿宋_GB2312" w:cs="仿宋_GB2312"/>
                <w:snapToGrid w:val="0"/>
                <w:color w:val="000000"/>
                <w:kern w:val="0"/>
                <w:sz w:val="21"/>
                <w:szCs w:val="21"/>
                <w:highlight w:val="none"/>
              </w:rPr>
              <w:t>2、综合比较投标人监理服务方案中对质量控制措施：</w:t>
            </w:r>
          </w:p>
          <w:p>
            <w:pPr>
              <w:pStyle w:val="9"/>
              <w:spacing w:line="360" w:lineRule="exact"/>
              <w:ind w:left="0"/>
              <w:rPr>
                <w:rFonts w:hint="eastAsia" w:ascii="仿宋_GB2312" w:hAnsi="仿宋_GB2312" w:eastAsia="仿宋_GB2312" w:cs="仿宋_GB2312"/>
                <w:snapToGrid w:val="0"/>
                <w:color w:val="000000"/>
                <w:kern w:val="0"/>
                <w:sz w:val="21"/>
                <w:szCs w:val="21"/>
                <w:highlight w:val="none"/>
              </w:rPr>
            </w:pPr>
            <w:r>
              <w:rPr>
                <w:rFonts w:hint="eastAsia" w:ascii="仿宋_GB2312" w:hAnsi="仿宋_GB2312" w:eastAsia="仿宋_GB2312" w:cs="仿宋_GB2312"/>
                <w:snapToGrid w:val="0"/>
                <w:color w:val="000000"/>
                <w:kern w:val="0"/>
                <w:sz w:val="21"/>
                <w:szCs w:val="21"/>
                <w:highlight w:val="none"/>
              </w:rPr>
              <w:t>（1）质量控制措施全面、针对性强的，得4分；</w:t>
            </w:r>
          </w:p>
          <w:p>
            <w:pPr>
              <w:pStyle w:val="9"/>
              <w:spacing w:line="360" w:lineRule="exact"/>
              <w:ind w:left="0"/>
              <w:rPr>
                <w:rFonts w:hint="eastAsia" w:ascii="仿宋_GB2312" w:hAnsi="仿宋_GB2312" w:eastAsia="仿宋_GB2312" w:cs="仿宋_GB2312"/>
                <w:snapToGrid w:val="0"/>
                <w:color w:val="000000"/>
                <w:kern w:val="0"/>
                <w:sz w:val="21"/>
                <w:szCs w:val="21"/>
                <w:highlight w:val="none"/>
              </w:rPr>
            </w:pPr>
            <w:r>
              <w:rPr>
                <w:rFonts w:hint="eastAsia" w:ascii="仿宋_GB2312" w:hAnsi="仿宋_GB2312" w:eastAsia="仿宋_GB2312" w:cs="仿宋_GB2312"/>
                <w:snapToGrid w:val="0"/>
                <w:color w:val="000000"/>
                <w:kern w:val="0"/>
                <w:sz w:val="21"/>
                <w:szCs w:val="21"/>
                <w:highlight w:val="none"/>
              </w:rPr>
              <w:t>（2）质量控制措施、针对性贴合本项目的，得3分；</w:t>
            </w:r>
          </w:p>
          <w:p>
            <w:pPr>
              <w:pStyle w:val="9"/>
              <w:spacing w:line="360" w:lineRule="exact"/>
              <w:ind w:left="0"/>
              <w:rPr>
                <w:rFonts w:hint="eastAsia" w:ascii="仿宋_GB2312" w:hAnsi="仿宋_GB2312" w:eastAsia="仿宋_GB2312" w:cs="仿宋_GB2312"/>
                <w:snapToGrid w:val="0"/>
                <w:color w:val="000000"/>
                <w:kern w:val="0"/>
                <w:sz w:val="21"/>
                <w:szCs w:val="21"/>
                <w:highlight w:val="none"/>
              </w:rPr>
            </w:pPr>
            <w:r>
              <w:rPr>
                <w:rFonts w:hint="eastAsia" w:ascii="仿宋_GB2312" w:hAnsi="仿宋_GB2312" w:eastAsia="仿宋_GB2312" w:cs="仿宋_GB2312"/>
                <w:snapToGrid w:val="0"/>
                <w:color w:val="000000"/>
                <w:kern w:val="0"/>
                <w:sz w:val="21"/>
                <w:szCs w:val="21"/>
                <w:highlight w:val="none"/>
              </w:rPr>
              <w:t>（3）质量控制措施有待完善的，得1分；</w:t>
            </w:r>
          </w:p>
          <w:p>
            <w:pPr>
              <w:pStyle w:val="9"/>
              <w:spacing w:line="360" w:lineRule="exact"/>
              <w:ind w:left="0"/>
              <w:rPr>
                <w:rFonts w:hint="eastAsia" w:ascii="仿宋_GB2312" w:hAnsi="仿宋_GB2312" w:eastAsia="仿宋_GB2312" w:cs="仿宋_GB2312"/>
                <w:snapToGrid w:val="0"/>
                <w:color w:val="000000"/>
                <w:kern w:val="0"/>
                <w:sz w:val="21"/>
                <w:szCs w:val="21"/>
                <w:highlight w:val="none"/>
              </w:rPr>
            </w:pPr>
            <w:r>
              <w:rPr>
                <w:rFonts w:hint="eastAsia" w:ascii="仿宋_GB2312" w:hAnsi="仿宋_GB2312" w:eastAsia="仿宋_GB2312" w:cs="仿宋_GB2312"/>
                <w:snapToGrid w:val="0"/>
                <w:color w:val="000000"/>
                <w:kern w:val="0"/>
                <w:sz w:val="21"/>
                <w:szCs w:val="21"/>
                <w:highlight w:val="none"/>
              </w:rPr>
              <w:t>（4）未提供或不符合要求不得分。</w:t>
            </w:r>
          </w:p>
          <w:p>
            <w:pPr>
              <w:pStyle w:val="9"/>
              <w:spacing w:line="360" w:lineRule="exact"/>
              <w:ind w:left="0"/>
              <w:rPr>
                <w:rFonts w:hint="eastAsia" w:ascii="仿宋_GB2312" w:hAnsi="仿宋_GB2312" w:eastAsia="仿宋_GB2312" w:cs="仿宋_GB2312"/>
                <w:snapToGrid w:val="0"/>
                <w:color w:val="000000"/>
                <w:kern w:val="0"/>
                <w:sz w:val="21"/>
                <w:szCs w:val="21"/>
                <w:highlight w:val="none"/>
              </w:rPr>
            </w:pPr>
            <w:r>
              <w:rPr>
                <w:rFonts w:hint="eastAsia" w:ascii="仿宋_GB2312" w:hAnsi="仿宋_GB2312" w:eastAsia="仿宋_GB2312" w:cs="仿宋_GB2312"/>
                <w:snapToGrid w:val="0"/>
                <w:color w:val="000000"/>
                <w:kern w:val="0"/>
                <w:sz w:val="21"/>
                <w:szCs w:val="21"/>
                <w:highlight w:val="none"/>
              </w:rPr>
              <w:t>3、综合比较投标人监理服务方案中对进度控制措施：</w:t>
            </w:r>
          </w:p>
          <w:p>
            <w:pPr>
              <w:pStyle w:val="9"/>
              <w:spacing w:line="360" w:lineRule="exact"/>
              <w:ind w:left="0"/>
              <w:rPr>
                <w:rFonts w:hint="eastAsia" w:ascii="仿宋_GB2312" w:hAnsi="仿宋_GB2312" w:eastAsia="仿宋_GB2312" w:cs="仿宋_GB2312"/>
                <w:snapToGrid w:val="0"/>
                <w:color w:val="000000"/>
                <w:kern w:val="0"/>
                <w:sz w:val="21"/>
                <w:szCs w:val="21"/>
                <w:highlight w:val="none"/>
              </w:rPr>
            </w:pPr>
            <w:r>
              <w:rPr>
                <w:rFonts w:hint="eastAsia" w:ascii="仿宋_GB2312" w:hAnsi="仿宋_GB2312" w:eastAsia="仿宋_GB2312" w:cs="仿宋_GB2312"/>
                <w:snapToGrid w:val="0"/>
                <w:color w:val="000000"/>
                <w:kern w:val="0"/>
                <w:sz w:val="21"/>
                <w:szCs w:val="21"/>
                <w:highlight w:val="none"/>
              </w:rPr>
              <w:t>（1）进度控制措施全面、针对性强的，得4分；</w:t>
            </w:r>
          </w:p>
          <w:p>
            <w:pPr>
              <w:pStyle w:val="9"/>
              <w:spacing w:line="360" w:lineRule="exact"/>
              <w:ind w:left="0"/>
              <w:rPr>
                <w:rFonts w:hint="eastAsia" w:ascii="仿宋_GB2312" w:hAnsi="仿宋_GB2312" w:eastAsia="仿宋_GB2312" w:cs="仿宋_GB2312"/>
                <w:snapToGrid w:val="0"/>
                <w:color w:val="000000"/>
                <w:kern w:val="0"/>
                <w:sz w:val="21"/>
                <w:szCs w:val="21"/>
                <w:highlight w:val="none"/>
              </w:rPr>
            </w:pPr>
            <w:r>
              <w:rPr>
                <w:rFonts w:hint="eastAsia" w:ascii="仿宋_GB2312" w:hAnsi="仿宋_GB2312" w:eastAsia="仿宋_GB2312" w:cs="仿宋_GB2312"/>
                <w:snapToGrid w:val="0"/>
                <w:color w:val="000000"/>
                <w:kern w:val="0"/>
                <w:sz w:val="21"/>
                <w:szCs w:val="21"/>
                <w:highlight w:val="none"/>
              </w:rPr>
              <w:t>（2）进度控制措施、针对性贴合本项目的，得3分；</w:t>
            </w:r>
          </w:p>
          <w:p>
            <w:pPr>
              <w:pStyle w:val="9"/>
              <w:spacing w:line="360" w:lineRule="exact"/>
              <w:ind w:left="0"/>
              <w:rPr>
                <w:rFonts w:hint="eastAsia" w:ascii="仿宋_GB2312" w:hAnsi="仿宋_GB2312" w:eastAsia="仿宋_GB2312" w:cs="仿宋_GB2312"/>
                <w:snapToGrid w:val="0"/>
                <w:color w:val="000000"/>
                <w:kern w:val="0"/>
                <w:sz w:val="21"/>
                <w:szCs w:val="21"/>
                <w:highlight w:val="none"/>
              </w:rPr>
            </w:pPr>
            <w:r>
              <w:rPr>
                <w:rFonts w:hint="eastAsia" w:ascii="仿宋_GB2312" w:hAnsi="仿宋_GB2312" w:eastAsia="仿宋_GB2312" w:cs="仿宋_GB2312"/>
                <w:snapToGrid w:val="0"/>
                <w:color w:val="000000"/>
                <w:kern w:val="0"/>
                <w:sz w:val="21"/>
                <w:szCs w:val="21"/>
                <w:highlight w:val="none"/>
              </w:rPr>
              <w:t>（3）进度控制措施有待完善的，得1分；</w:t>
            </w:r>
          </w:p>
          <w:p>
            <w:pPr>
              <w:pStyle w:val="9"/>
              <w:spacing w:line="360" w:lineRule="exact"/>
              <w:ind w:left="0"/>
              <w:rPr>
                <w:rFonts w:hint="eastAsia" w:ascii="仿宋_GB2312" w:hAnsi="仿宋_GB2312" w:eastAsia="仿宋_GB2312" w:cs="仿宋_GB2312"/>
                <w:snapToGrid w:val="0"/>
                <w:color w:val="000000"/>
                <w:kern w:val="0"/>
                <w:sz w:val="21"/>
                <w:szCs w:val="21"/>
                <w:highlight w:val="none"/>
              </w:rPr>
            </w:pPr>
            <w:r>
              <w:rPr>
                <w:rFonts w:hint="eastAsia" w:ascii="仿宋_GB2312" w:hAnsi="仿宋_GB2312" w:eastAsia="仿宋_GB2312" w:cs="仿宋_GB2312"/>
                <w:snapToGrid w:val="0"/>
                <w:color w:val="000000"/>
                <w:kern w:val="0"/>
                <w:sz w:val="21"/>
                <w:szCs w:val="21"/>
                <w:highlight w:val="none"/>
              </w:rPr>
              <w:t>（4）未提供或不符合要求不得分。</w:t>
            </w:r>
          </w:p>
          <w:p>
            <w:pPr>
              <w:pStyle w:val="9"/>
              <w:spacing w:line="360" w:lineRule="exact"/>
              <w:ind w:left="0"/>
              <w:rPr>
                <w:rFonts w:hint="eastAsia" w:ascii="仿宋_GB2312" w:hAnsi="仿宋_GB2312" w:eastAsia="仿宋_GB2312" w:cs="仿宋_GB2312"/>
                <w:snapToGrid w:val="0"/>
                <w:color w:val="000000"/>
                <w:kern w:val="0"/>
                <w:sz w:val="21"/>
                <w:szCs w:val="21"/>
                <w:highlight w:val="none"/>
              </w:rPr>
            </w:pPr>
            <w:r>
              <w:rPr>
                <w:rFonts w:hint="eastAsia" w:ascii="仿宋_GB2312" w:hAnsi="仿宋_GB2312" w:eastAsia="仿宋_GB2312" w:cs="仿宋_GB2312"/>
                <w:snapToGrid w:val="0"/>
                <w:color w:val="000000"/>
                <w:kern w:val="0"/>
                <w:sz w:val="21"/>
                <w:szCs w:val="21"/>
                <w:highlight w:val="none"/>
              </w:rPr>
              <w:t>4、综合比较投标人监理服务方案中对投资及变更控制措施：</w:t>
            </w:r>
          </w:p>
          <w:p>
            <w:pPr>
              <w:pStyle w:val="9"/>
              <w:spacing w:line="360" w:lineRule="exact"/>
              <w:ind w:left="0"/>
              <w:rPr>
                <w:rFonts w:hint="eastAsia" w:ascii="仿宋_GB2312" w:hAnsi="仿宋_GB2312" w:eastAsia="仿宋_GB2312" w:cs="仿宋_GB2312"/>
                <w:snapToGrid w:val="0"/>
                <w:color w:val="000000"/>
                <w:kern w:val="0"/>
                <w:sz w:val="21"/>
                <w:szCs w:val="21"/>
                <w:highlight w:val="none"/>
              </w:rPr>
            </w:pPr>
            <w:r>
              <w:rPr>
                <w:rFonts w:hint="eastAsia" w:ascii="仿宋_GB2312" w:hAnsi="仿宋_GB2312" w:eastAsia="仿宋_GB2312" w:cs="仿宋_GB2312"/>
                <w:snapToGrid w:val="0"/>
                <w:color w:val="000000"/>
                <w:kern w:val="0"/>
                <w:sz w:val="21"/>
                <w:szCs w:val="21"/>
                <w:highlight w:val="none"/>
              </w:rPr>
              <w:t>（1）投资及变更控制措施全面、针对性强的，得4分；</w:t>
            </w:r>
          </w:p>
          <w:p>
            <w:pPr>
              <w:pStyle w:val="9"/>
              <w:spacing w:line="360" w:lineRule="exact"/>
              <w:ind w:left="0"/>
              <w:rPr>
                <w:rFonts w:hint="eastAsia" w:ascii="仿宋_GB2312" w:hAnsi="仿宋_GB2312" w:eastAsia="仿宋_GB2312" w:cs="仿宋_GB2312"/>
                <w:snapToGrid w:val="0"/>
                <w:color w:val="000000"/>
                <w:kern w:val="0"/>
                <w:sz w:val="21"/>
                <w:szCs w:val="21"/>
                <w:highlight w:val="none"/>
              </w:rPr>
            </w:pPr>
            <w:r>
              <w:rPr>
                <w:rFonts w:hint="eastAsia" w:ascii="仿宋_GB2312" w:hAnsi="仿宋_GB2312" w:eastAsia="仿宋_GB2312" w:cs="仿宋_GB2312"/>
                <w:snapToGrid w:val="0"/>
                <w:color w:val="000000"/>
                <w:kern w:val="0"/>
                <w:sz w:val="21"/>
                <w:szCs w:val="21"/>
                <w:highlight w:val="none"/>
              </w:rPr>
              <w:t>（2）投资及变更控制措施、针对性贴合本项目的，得3分；</w:t>
            </w:r>
          </w:p>
          <w:p>
            <w:pPr>
              <w:pStyle w:val="9"/>
              <w:spacing w:line="360" w:lineRule="exact"/>
              <w:ind w:left="0"/>
              <w:rPr>
                <w:rFonts w:hint="eastAsia" w:ascii="仿宋_GB2312" w:hAnsi="仿宋_GB2312" w:eastAsia="仿宋_GB2312" w:cs="仿宋_GB2312"/>
                <w:snapToGrid w:val="0"/>
                <w:color w:val="000000"/>
                <w:kern w:val="0"/>
                <w:sz w:val="21"/>
                <w:szCs w:val="21"/>
                <w:highlight w:val="none"/>
              </w:rPr>
            </w:pPr>
            <w:r>
              <w:rPr>
                <w:rFonts w:hint="eastAsia" w:ascii="仿宋_GB2312" w:hAnsi="仿宋_GB2312" w:eastAsia="仿宋_GB2312" w:cs="仿宋_GB2312"/>
                <w:snapToGrid w:val="0"/>
                <w:color w:val="000000"/>
                <w:kern w:val="0"/>
                <w:sz w:val="21"/>
                <w:szCs w:val="21"/>
                <w:highlight w:val="none"/>
              </w:rPr>
              <w:t>（3）投资及变更控制措施有待完善的，得1分；</w:t>
            </w:r>
          </w:p>
          <w:p>
            <w:pPr>
              <w:pStyle w:val="9"/>
              <w:spacing w:line="360" w:lineRule="exact"/>
              <w:ind w:left="0"/>
              <w:rPr>
                <w:rFonts w:hint="eastAsia" w:ascii="仿宋_GB2312" w:hAnsi="仿宋_GB2312" w:eastAsia="仿宋_GB2312" w:cs="仿宋_GB2312"/>
                <w:snapToGrid w:val="0"/>
                <w:color w:val="000000"/>
                <w:kern w:val="0"/>
                <w:sz w:val="21"/>
                <w:szCs w:val="21"/>
                <w:highlight w:val="none"/>
              </w:rPr>
            </w:pPr>
            <w:r>
              <w:rPr>
                <w:rFonts w:hint="eastAsia" w:ascii="仿宋_GB2312" w:hAnsi="仿宋_GB2312" w:eastAsia="仿宋_GB2312" w:cs="仿宋_GB2312"/>
                <w:snapToGrid w:val="0"/>
                <w:color w:val="000000"/>
                <w:kern w:val="0"/>
                <w:sz w:val="21"/>
                <w:szCs w:val="21"/>
                <w:highlight w:val="none"/>
              </w:rPr>
              <w:t>（4）未提供或不符合要求不得分。</w:t>
            </w:r>
          </w:p>
          <w:p>
            <w:pPr>
              <w:pStyle w:val="9"/>
              <w:spacing w:line="360" w:lineRule="exact"/>
              <w:ind w:left="0"/>
              <w:rPr>
                <w:rFonts w:hint="eastAsia" w:ascii="仿宋_GB2312" w:hAnsi="仿宋_GB2312" w:eastAsia="仿宋_GB2312" w:cs="仿宋_GB2312"/>
                <w:snapToGrid w:val="0"/>
                <w:color w:val="000000"/>
                <w:kern w:val="0"/>
                <w:sz w:val="21"/>
                <w:szCs w:val="21"/>
                <w:highlight w:val="none"/>
              </w:rPr>
            </w:pPr>
            <w:r>
              <w:rPr>
                <w:rFonts w:hint="eastAsia" w:ascii="仿宋_GB2312" w:hAnsi="仿宋_GB2312" w:eastAsia="仿宋_GB2312" w:cs="仿宋_GB2312"/>
                <w:snapToGrid w:val="0"/>
                <w:color w:val="000000"/>
                <w:kern w:val="0"/>
                <w:sz w:val="21"/>
                <w:szCs w:val="21"/>
                <w:highlight w:val="none"/>
              </w:rPr>
              <w:t>5、综合比较投标人监理服务方案中对文明施工、安全生产的控制措施：</w:t>
            </w:r>
          </w:p>
          <w:p>
            <w:pPr>
              <w:pStyle w:val="9"/>
              <w:spacing w:line="360" w:lineRule="exact"/>
              <w:ind w:left="0"/>
              <w:rPr>
                <w:rFonts w:hint="eastAsia" w:ascii="仿宋_GB2312" w:hAnsi="仿宋_GB2312" w:eastAsia="仿宋_GB2312" w:cs="仿宋_GB2312"/>
                <w:snapToGrid w:val="0"/>
                <w:color w:val="000000"/>
                <w:kern w:val="0"/>
                <w:sz w:val="21"/>
                <w:szCs w:val="21"/>
                <w:highlight w:val="none"/>
              </w:rPr>
            </w:pPr>
            <w:r>
              <w:rPr>
                <w:rFonts w:hint="eastAsia" w:ascii="仿宋_GB2312" w:hAnsi="仿宋_GB2312" w:eastAsia="仿宋_GB2312" w:cs="仿宋_GB2312"/>
                <w:snapToGrid w:val="0"/>
                <w:color w:val="000000"/>
                <w:kern w:val="0"/>
                <w:sz w:val="21"/>
                <w:szCs w:val="21"/>
                <w:highlight w:val="none"/>
              </w:rPr>
              <w:t>（1）文明施工、安全生产的控制措施全面、针对性强的，得4分；</w:t>
            </w:r>
          </w:p>
          <w:p>
            <w:pPr>
              <w:pStyle w:val="9"/>
              <w:spacing w:line="360" w:lineRule="exact"/>
              <w:ind w:left="0"/>
              <w:rPr>
                <w:rFonts w:hint="eastAsia" w:ascii="仿宋_GB2312" w:hAnsi="仿宋_GB2312" w:eastAsia="仿宋_GB2312" w:cs="仿宋_GB2312"/>
                <w:snapToGrid w:val="0"/>
                <w:color w:val="000000"/>
                <w:kern w:val="0"/>
                <w:sz w:val="21"/>
                <w:szCs w:val="21"/>
                <w:highlight w:val="none"/>
              </w:rPr>
            </w:pPr>
            <w:r>
              <w:rPr>
                <w:rFonts w:hint="eastAsia" w:ascii="仿宋_GB2312" w:hAnsi="仿宋_GB2312" w:eastAsia="仿宋_GB2312" w:cs="仿宋_GB2312"/>
                <w:snapToGrid w:val="0"/>
                <w:color w:val="000000"/>
                <w:kern w:val="0"/>
                <w:sz w:val="21"/>
                <w:szCs w:val="21"/>
                <w:highlight w:val="none"/>
              </w:rPr>
              <w:t>（2）文明施工、安全生产的控制措施、针对性贴合本项目的，得3分；</w:t>
            </w:r>
          </w:p>
          <w:p>
            <w:pPr>
              <w:pStyle w:val="9"/>
              <w:spacing w:line="360" w:lineRule="exact"/>
              <w:ind w:left="0"/>
              <w:rPr>
                <w:rFonts w:hint="eastAsia" w:ascii="仿宋_GB2312" w:hAnsi="仿宋_GB2312" w:eastAsia="仿宋_GB2312" w:cs="仿宋_GB2312"/>
                <w:snapToGrid w:val="0"/>
                <w:color w:val="000000"/>
                <w:kern w:val="0"/>
                <w:sz w:val="21"/>
                <w:szCs w:val="21"/>
                <w:highlight w:val="none"/>
              </w:rPr>
            </w:pPr>
            <w:r>
              <w:rPr>
                <w:rFonts w:hint="eastAsia" w:ascii="仿宋_GB2312" w:hAnsi="仿宋_GB2312" w:eastAsia="仿宋_GB2312" w:cs="仿宋_GB2312"/>
                <w:snapToGrid w:val="0"/>
                <w:color w:val="000000"/>
                <w:kern w:val="0"/>
                <w:sz w:val="21"/>
                <w:szCs w:val="21"/>
                <w:highlight w:val="none"/>
              </w:rPr>
              <w:t>（3）文明施工、安全生产的控制措施有待完善的，得1分；</w:t>
            </w:r>
          </w:p>
          <w:p>
            <w:pPr>
              <w:pStyle w:val="9"/>
              <w:spacing w:line="360" w:lineRule="exact"/>
              <w:ind w:left="0"/>
              <w:rPr>
                <w:rFonts w:hint="eastAsia" w:ascii="仿宋_GB2312" w:hAnsi="仿宋_GB2312" w:eastAsia="仿宋_GB2312" w:cs="仿宋_GB2312"/>
                <w:snapToGrid w:val="0"/>
                <w:color w:val="000000"/>
                <w:kern w:val="0"/>
                <w:sz w:val="21"/>
                <w:szCs w:val="21"/>
                <w:highlight w:val="none"/>
              </w:rPr>
            </w:pPr>
            <w:r>
              <w:rPr>
                <w:rFonts w:hint="eastAsia" w:ascii="仿宋_GB2312" w:hAnsi="仿宋_GB2312" w:eastAsia="仿宋_GB2312" w:cs="仿宋_GB2312"/>
                <w:snapToGrid w:val="0"/>
                <w:color w:val="000000"/>
                <w:kern w:val="0"/>
                <w:sz w:val="21"/>
                <w:szCs w:val="21"/>
                <w:highlight w:val="none"/>
              </w:rPr>
              <w:t>（4）未提供或不符合要求不得分。</w:t>
            </w:r>
          </w:p>
          <w:p>
            <w:pPr>
              <w:pStyle w:val="9"/>
              <w:spacing w:line="360" w:lineRule="exact"/>
              <w:ind w:left="0"/>
              <w:rPr>
                <w:rFonts w:hint="eastAsia" w:ascii="仿宋_GB2312" w:hAnsi="仿宋_GB2312" w:eastAsia="仿宋_GB2312" w:cs="仿宋_GB2312"/>
                <w:snapToGrid w:val="0"/>
                <w:color w:val="000000"/>
                <w:kern w:val="0"/>
                <w:sz w:val="21"/>
                <w:szCs w:val="21"/>
                <w:highlight w:val="none"/>
              </w:rPr>
            </w:pPr>
            <w:r>
              <w:rPr>
                <w:rFonts w:hint="eastAsia" w:ascii="仿宋_GB2312" w:hAnsi="仿宋_GB2312" w:eastAsia="仿宋_GB2312" w:cs="仿宋_GB2312"/>
                <w:snapToGrid w:val="0"/>
                <w:color w:val="000000"/>
                <w:kern w:val="0"/>
                <w:sz w:val="21"/>
                <w:szCs w:val="21"/>
                <w:highlight w:val="none"/>
              </w:rPr>
              <w:t>6、综合比较投标人监理服务方案中对现场组织协调内容：</w:t>
            </w:r>
          </w:p>
          <w:p>
            <w:pPr>
              <w:pStyle w:val="9"/>
              <w:spacing w:line="360" w:lineRule="exact"/>
              <w:ind w:left="0"/>
              <w:rPr>
                <w:rFonts w:hint="eastAsia" w:ascii="仿宋_GB2312" w:hAnsi="仿宋_GB2312" w:eastAsia="仿宋_GB2312" w:cs="仿宋_GB2312"/>
                <w:snapToGrid w:val="0"/>
                <w:color w:val="000000"/>
                <w:kern w:val="0"/>
                <w:sz w:val="21"/>
                <w:szCs w:val="21"/>
                <w:highlight w:val="none"/>
              </w:rPr>
            </w:pPr>
            <w:r>
              <w:rPr>
                <w:rFonts w:hint="eastAsia" w:ascii="仿宋_GB2312" w:hAnsi="仿宋_GB2312" w:eastAsia="仿宋_GB2312" w:cs="仿宋_GB2312"/>
                <w:snapToGrid w:val="0"/>
                <w:color w:val="000000"/>
                <w:kern w:val="0"/>
                <w:sz w:val="21"/>
                <w:szCs w:val="21"/>
                <w:highlight w:val="none"/>
              </w:rPr>
              <w:t>（1）内容全面、方法得当、措施详细得当的，得4分；</w:t>
            </w:r>
          </w:p>
          <w:p>
            <w:pPr>
              <w:pStyle w:val="9"/>
              <w:spacing w:line="360" w:lineRule="exact"/>
              <w:ind w:left="0"/>
              <w:rPr>
                <w:rFonts w:hint="eastAsia" w:ascii="仿宋_GB2312" w:hAnsi="仿宋_GB2312" w:eastAsia="仿宋_GB2312" w:cs="仿宋_GB2312"/>
                <w:snapToGrid w:val="0"/>
                <w:color w:val="000000"/>
                <w:kern w:val="0"/>
                <w:sz w:val="21"/>
                <w:szCs w:val="21"/>
                <w:highlight w:val="none"/>
              </w:rPr>
            </w:pPr>
            <w:r>
              <w:rPr>
                <w:rFonts w:hint="eastAsia" w:ascii="仿宋_GB2312" w:hAnsi="仿宋_GB2312" w:eastAsia="仿宋_GB2312" w:cs="仿宋_GB2312"/>
                <w:snapToGrid w:val="0"/>
                <w:color w:val="000000"/>
                <w:kern w:val="0"/>
                <w:sz w:val="21"/>
                <w:szCs w:val="21"/>
                <w:highlight w:val="none"/>
              </w:rPr>
              <w:t>（2）内容、方法、措施贴合本项目的，得3分；</w:t>
            </w:r>
          </w:p>
          <w:p>
            <w:pPr>
              <w:pStyle w:val="9"/>
              <w:spacing w:line="360" w:lineRule="exact"/>
              <w:ind w:left="0"/>
              <w:rPr>
                <w:rFonts w:hint="eastAsia" w:ascii="仿宋_GB2312" w:hAnsi="仿宋_GB2312" w:eastAsia="仿宋_GB2312" w:cs="仿宋_GB2312"/>
                <w:snapToGrid w:val="0"/>
                <w:color w:val="000000"/>
                <w:kern w:val="0"/>
                <w:sz w:val="21"/>
                <w:szCs w:val="21"/>
                <w:highlight w:val="none"/>
              </w:rPr>
            </w:pPr>
            <w:r>
              <w:rPr>
                <w:rFonts w:hint="eastAsia" w:ascii="仿宋_GB2312" w:hAnsi="仿宋_GB2312" w:eastAsia="仿宋_GB2312" w:cs="仿宋_GB2312"/>
                <w:snapToGrid w:val="0"/>
                <w:color w:val="000000"/>
                <w:kern w:val="0"/>
                <w:sz w:val="21"/>
                <w:szCs w:val="21"/>
                <w:highlight w:val="none"/>
              </w:rPr>
              <w:t>（3）内容、方法、措施有待完善的，得1分；</w:t>
            </w:r>
          </w:p>
          <w:p>
            <w:pPr>
              <w:pStyle w:val="9"/>
              <w:spacing w:line="360" w:lineRule="exact"/>
              <w:ind w:left="0"/>
              <w:rPr>
                <w:rFonts w:hint="eastAsia" w:ascii="仿宋_GB2312" w:hAnsi="仿宋_GB2312" w:eastAsia="仿宋_GB2312" w:cs="仿宋_GB2312"/>
                <w:snapToGrid w:val="0"/>
                <w:color w:val="000000"/>
                <w:kern w:val="0"/>
                <w:sz w:val="21"/>
                <w:szCs w:val="21"/>
                <w:highlight w:val="none"/>
              </w:rPr>
            </w:pPr>
            <w:r>
              <w:rPr>
                <w:rFonts w:hint="eastAsia" w:ascii="仿宋_GB2312" w:hAnsi="仿宋_GB2312" w:eastAsia="仿宋_GB2312" w:cs="仿宋_GB2312"/>
                <w:snapToGrid w:val="0"/>
                <w:color w:val="000000"/>
                <w:kern w:val="0"/>
                <w:sz w:val="21"/>
                <w:szCs w:val="21"/>
                <w:highlight w:val="none"/>
              </w:rPr>
              <w:t>（4）未提供或不符合要求不得分。</w:t>
            </w:r>
          </w:p>
          <w:p>
            <w:pPr>
              <w:pStyle w:val="9"/>
              <w:spacing w:line="360" w:lineRule="exact"/>
              <w:ind w:left="0"/>
              <w:rPr>
                <w:rFonts w:hint="eastAsia" w:ascii="仿宋_GB2312" w:hAnsi="仿宋_GB2312" w:eastAsia="仿宋_GB2312" w:cs="仿宋_GB2312"/>
                <w:snapToGrid w:val="0"/>
                <w:color w:val="000000"/>
                <w:kern w:val="0"/>
                <w:sz w:val="21"/>
                <w:szCs w:val="21"/>
                <w:highlight w:val="none"/>
              </w:rPr>
            </w:pPr>
            <w:r>
              <w:rPr>
                <w:rFonts w:hint="eastAsia" w:ascii="仿宋_GB2312" w:hAnsi="仿宋_GB2312" w:eastAsia="仿宋_GB2312" w:cs="仿宋_GB2312"/>
                <w:snapToGrid w:val="0"/>
                <w:color w:val="000000"/>
                <w:kern w:val="0"/>
                <w:sz w:val="21"/>
                <w:szCs w:val="21"/>
                <w:highlight w:val="none"/>
              </w:rPr>
              <w:t>7、综合比较投标人监理服务方案中对合同与信息管理内容：</w:t>
            </w:r>
          </w:p>
          <w:p>
            <w:pPr>
              <w:pStyle w:val="9"/>
              <w:spacing w:line="360" w:lineRule="exact"/>
              <w:ind w:left="0"/>
              <w:rPr>
                <w:rFonts w:hint="eastAsia" w:ascii="仿宋_GB2312" w:hAnsi="仿宋_GB2312" w:eastAsia="仿宋_GB2312" w:cs="仿宋_GB2312"/>
                <w:snapToGrid w:val="0"/>
                <w:color w:val="000000"/>
                <w:kern w:val="0"/>
                <w:sz w:val="21"/>
                <w:szCs w:val="21"/>
                <w:highlight w:val="none"/>
              </w:rPr>
            </w:pPr>
            <w:r>
              <w:rPr>
                <w:rFonts w:hint="eastAsia" w:ascii="仿宋_GB2312" w:hAnsi="仿宋_GB2312" w:eastAsia="仿宋_GB2312" w:cs="仿宋_GB2312"/>
                <w:snapToGrid w:val="0"/>
                <w:color w:val="000000"/>
                <w:kern w:val="0"/>
                <w:sz w:val="21"/>
                <w:szCs w:val="21"/>
                <w:highlight w:val="none"/>
              </w:rPr>
              <w:t>（1）内容全面、方法得当、措施详细得当的，得4分；</w:t>
            </w:r>
          </w:p>
          <w:p>
            <w:pPr>
              <w:pStyle w:val="9"/>
              <w:spacing w:line="360" w:lineRule="exact"/>
              <w:ind w:left="0"/>
              <w:rPr>
                <w:rFonts w:hint="eastAsia" w:ascii="仿宋_GB2312" w:hAnsi="仿宋_GB2312" w:eastAsia="仿宋_GB2312" w:cs="仿宋_GB2312"/>
                <w:snapToGrid w:val="0"/>
                <w:color w:val="000000"/>
                <w:kern w:val="0"/>
                <w:sz w:val="21"/>
                <w:szCs w:val="21"/>
                <w:highlight w:val="none"/>
              </w:rPr>
            </w:pPr>
            <w:r>
              <w:rPr>
                <w:rFonts w:hint="eastAsia" w:ascii="仿宋_GB2312" w:hAnsi="仿宋_GB2312" w:eastAsia="仿宋_GB2312" w:cs="仿宋_GB2312"/>
                <w:snapToGrid w:val="0"/>
                <w:color w:val="000000"/>
                <w:kern w:val="0"/>
                <w:sz w:val="21"/>
                <w:szCs w:val="21"/>
                <w:highlight w:val="none"/>
              </w:rPr>
              <w:t>（2）内容、方法、措施贴合本项目的，得3分；</w:t>
            </w:r>
          </w:p>
          <w:p>
            <w:pPr>
              <w:pStyle w:val="9"/>
              <w:spacing w:line="360" w:lineRule="exact"/>
              <w:ind w:left="0"/>
              <w:rPr>
                <w:rFonts w:hint="eastAsia" w:ascii="仿宋_GB2312" w:hAnsi="仿宋_GB2312" w:eastAsia="仿宋_GB2312" w:cs="仿宋_GB2312"/>
                <w:snapToGrid w:val="0"/>
                <w:color w:val="000000"/>
                <w:kern w:val="0"/>
                <w:sz w:val="21"/>
                <w:szCs w:val="21"/>
                <w:highlight w:val="none"/>
              </w:rPr>
            </w:pPr>
            <w:r>
              <w:rPr>
                <w:rFonts w:hint="eastAsia" w:ascii="仿宋_GB2312" w:hAnsi="仿宋_GB2312" w:eastAsia="仿宋_GB2312" w:cs="仿宋_GB2312"/>
                <w:snapToGrid w:val="0"/>
                <w:color w:val="000000"/>
                <w:kern w:val="0"/>
                <w:sz w:val="21"/>
                <w:szCs w:val="21"/>
                <w:highlight w:val="none"/>
              </w:rPr>
              <w:t>（3）内容、方法、措施有待完善的，得1分；</w:t>
            </w:r>
          </w:p>
          <w:p>
            <w:pPr>
              <w:pStyle w:val="9"/>
              <w:spacing w:line="360" w:lineRule="exact"/>
              <w:ind w:left="0"/>
              <w:rPr>
                <w:rFonts w:hint="eastAsia" w:ascii="仿宋_GB2312" w:hAnsi="仿宋_GB2312" w:eastAsia="仿宋_GB2312" w:cs="仿宋_GB2312"/>
                <w:snapToGrid w:val="0"/>
                <w:color w:val="000000"/>
                <w:kern w:val="0"/>
                <w:sz w:val="21"/>
                <w:szCs w:val="21"/>
                <w:highlight w:val="none"/>
              </w:rPr>
            </w:pPr>
            <w:r>
              <w:rPr>
                <w:rFonts w:hint="eastAsia" w:ascii="仿宋_GB2312" w:hAnsi="仿宋_GB2312" w:eastAsia="仿宋_GB2312" w:cs="仿宋_GB2312"/>
                <w:snapToGrid w:val="0"/>
                <w:color w:val="000000"/>
                <w:kern w:val="0"/>
                <w:sz w:val="21"/>
                <w:szCs w:val="21"/>
                <w:highlight w:val="none"/>
              </w:rPr>
              <w:t>（4）未提供或不符合要求不得分。</w:t>
            </w:r>
          </w:p>
          <w:p>
            <w:pPr>
              <w:pStyle w:val="9"/>
              <w:spacing w:line="360" w:lineRule="exact"/>
              <w:ind w:left="0"/>
              <w:rPr>
                <w:rFonts w:hint="eastAsia" w:ascii="仿宋_GB2312" w:hAnsi="仿宋_GB2312" w:eastAsia="仿宋_GB2312" w:cs="仿宋_GB2312"/>
                <w:snapToGrid w:val="0"/>
                <w:color w:val="000000"/>
                <w:kern w:val="0"/>
                <w:sz w:val="21"/>
                <w:szCs w:val="21"/>
                <w:highlight w:val="none"/>
              </w:rPr>
            </w:pPr>
            <w:r>
              <w:rPr>
                <w:rFonts w:hint="eastAsia" w:ascii="仿宋_GB2312" w:hAnsi="仿宋_GB2312" w:eastAsia="仿宋_GB2312" w:cs="仿宋_GB2312"/>
                <w:snapToGrid w:val="0"/>
                <w:color w:val="000000"/>
                <w:kern w:val="0"/>
                <w:sz w:val="21"/>
                <w:szCs w:val="21"/>
                <w:highlight w:val="none"/>
              </w:rPr>
              <w:t>8、综合比较投标人监理服务方案中对关键工序控制措施：</w:t>
            </w:r>
          </w:p>
          <w:p>
            <w:pPr>
              <w:pStyle w:val="9"/>
              <w:spacing w:line="360" w:lineRule="exact"/>
              <w:ind w:left="0"/>
              <w:rPr>
                <w:rFonts w:hint="eastAsia" w:ascii="仿宋_GB2312" w:hAnsi="仿宋_GB2312" w:eastAsia="仿宋_GB2312" w:cs="仿宋_GB2312"/>
                <w:snapToGrid w:val="0"/>
                <w:color w:val="000000"/>
                <w:kern w:val="0"/>
                <w:sz w:val="21"/>
                <w:szCs w:val="21"/>
                <w:highlight w:val="none"/>
              </w:rPr>
            </w:pPr>
            <w:r>
              <w:rPr>
                <w:rFonts w:hint="eastAsia" w:ascii="仿宋_GB2312" w:hAnsi="仿宋_GB2312" w:eastAsia="仿宋_GB2312" w:cs="仿宋_GB2312"/>
                <w:snapToGrid w:val="0"/>
                <w:color w:val="000000"/>
                <w:kern w:val="0"/>
                <w:sz w:val="21"/>
                <w:szCs w:val="21"/>
                <w:highlight w:val="none"/>
              </w:rPr>
              <w:t>（1）措施全面、针对性强的，得4分；</w:t>
            </w:r>
          </w:p>
          <w:p>
            <w:pPr>
              <w:pStyle w:val="9"/>
              <w:spacing w:line="360" w:lineRule="exact"/>
              <w:ind w:left="0"/>
              <w:rPr>
                <w:rFonts w:hint="eastAsia" w:ascii="仿宋_GB2312" w:hAnsi="仿宋_GB2312" w:eastAsia="仿宋_GB2312" w:cs="仿宋_GB2312"/>
                <w:snapToGrid w:val="0"/>
                <w:color w:val="000000"/>
                <w:kern w:val="0"/>
                <w:sz w:val="21"/>
                <w:szCs w:val="21"/>
                <w:highlight w:val="none"/>
              </w:rPr>
            </w:pPr>
            <w:r>
              <w:rPr>
                <w:rFonts w:hint="eastAsia" w:ascii="仿宋_GB2312" w:hAnsi="仿宋_GB2312" w:eastAsia="仿宋_GB2312" w:cs="仿宋_GB2312"/>
                <w:snapToGrid w:val="0"/>
                <w:color w:val="000000"/>
                <w:kern w:val="0"/>
                <w:sz w:val="21"/>
                <w:szCs w:val="21"/>
                <w:highlight w:val="none"/>
              </w:rPr>
              <w:t>（2）措施、针对性贴合本项目的，得3分；</w:t>
            </w:r>
          </w:p>
          <w:p>
            <w:pPr>
              <w:pStyle w:val="9"/>
              <w:spacing w:line="360" w:lineRule="exact"/>
              <w:ind w:left="0"/>
              <w:rPr>
                <w:rFonts w:hint="eastAsia" w:ascii="仿宋_GB2312" w:hAnsi="仿宋_GB2312" w:eastAsia="仿宋_GB2312" w:cs="仿宋_GB2312"/>
                <w:snapToGrid w:val="0"/>
                <w:color w:val="000000"/>
                <w:kern w:val="0"/>
                <w:sz w:val="21"/>
                <w:szCs w:val="21"/>
                <w:highlight w:val="none"/>
              </w:rPr>
            </w:pPr>
            <w:r>
              <w:rPr>
                <w:rFonts w:hint="eastAsia" w:ascii="仿宋_GB2312" w:hAnsi="仿宋_GB2312" w:eastAsia="仿宋_GB2312" w:cs="仿宋_GB2312"/>
                <w:snapToGrid w:val="0"/>
                <w:color w:val="000000"/>
                <w:kern w:val="0"/>
                <w:sz w:val="21"/>
                <w:szCs w:val="21"/>
                <w:highlight w:val="none"/>
              </w:rPr>
              <w:t>（3）措施有待完善的，得1分；</w:t>
            </w:r>
          </w:p>
          <w:p>
            <w:pPr>
              <w:pStyle w:val="9"/>
              <w:spacing w:line="360" w:lineRule="exact"/>
              <w:ind w:left="0"/>
              <w:rPr>
                <w:rFonts w:hint="eastAsia" w:ascii="仿宋_GB2312" w:hAnsi="仿宋_GB2312" w:eastAsia="仿宋_GB2312" w:cs="仿宋_GB2312"/>
                <w:snapToGrid w:val="0"/>
                <w:color w:val="000000"/>
                <w:kern w:val="0"/>
                <w:sz w:val="21"/>
                <w:szCs w:val="21"/>
                <w:highlight w:val="none"/>
              </w:rPr>
            </w:pPr>
            <w:r>
              <w:rPr>
                <w:rFonts w:hint="eastAsia" w:ascii="仿宋_GB2312" w:hAnsi="仿宋_GB2312" w:eastAsia="仿宋_GB2312" w:cs="仿宋_GB2312"/>
                <w:snapToGrid w:val="0"/>
                <w:color w:val="000000"/>
                <w:kern w:val="0"/>
                <w:sz w:val="21"/>
                <w:szCs w:val="21"/>
                <w:highlight w:val="none"/>
              </w:rPr>
              <w:t>（4）未提供或不符合要求不得分。</w:t>
            </w:r>
          </w:p>
          <w:p>
            <w:pPr>
              <w:pStyle w:val="9"/>
              <w:spacing w:line="360" w:lineRule="exact"/>
              <w:ind w:left="0"/>
              <w:rPr>
                <w:rFonts w:hint="eastAsia" w:ascii="仿宋_GB2312" w:hAnsi="仿宋_GB2312" w:eastAsia="仿宋_GB2312" w:cs="仿宋_GB2312"/>
                <w:snapToGrid w:val="0"/>
                <w:color w:val="000000"/>
                <w:kern w:val="0"/>
                <w:sz w:val="21"/>
                <w:szCs w:val="21"/>
                <w:highlight w:val="none"/>
              </w:rPr>
            </w:pPr>
            <w:r>
              <w:rPr>
                <w:rFonts w:hint="eastAsia" w:ascii="仿宋_GB2312" w:hAnsi="仿宋_GB2312" w:eastAsia="仿宋_GB2312" w:cs="仿宋_GB2312"/>
                <w:snapToGrid w:val="0"/>
                <w:color w:val="000000"/>
                <w:kern w:val="0"/>
                <w:sz w:val="21"/>
                <w:szCs w:val="21"/>
                <w:highlight w:val="none"/>
              </w:rPr>
              <w:t>9、综合比较投标人监理服务方案中对监理重点、难点的处理措施及建议：</w:t>
            </w:r>
          </w:p>
          <w:p>
            <w:pPr>
              <w:pStyle w:val="9"/>
              <w:spacing w:line="360" w:lineRule="exact"/>
              <w:ind w:left="0"/>
              <w:rPr>
                <w:rFonts w:hint="eastAsia" w:ascii="仿宋_GB2312" w:hAnsi="仿宋_GB2312" w:eastAsia="仿宋_GB2312" w:cs="仿宋_GB2312"/>
                <w:snapToGrid w:val="0"/>
                <w:color w:val="000000"/>
                <w:kern w:val="0"/>
                <w:sz w:val="21"/>
                <w:szCs w:val="21"/>
                <w:highlight w:val="none"/>
              </w:rPr>
            </w:pPr>
            <w:r>
              <w:rPr>
                <w:rFonts w:hint="eastAsia" w:ascii="仿宋_GB2312" w:hAnsi="仿宋_GB2312" w:eastAsia="仿宋_GB2312" w:cs="仿宋_GB2312"/>
                <w:snapToGrid w:val="0"/>
                <w:color w:val="000000"/>
                <w:kern w:val="0"/>
                <w:sz w:val="21"/>
                <w:szCs w:val="21"/>
                <w:highlight w:val="none"/>
              </w:rPr>
              <w:t>（1）针对本工程的重点、难点的处理措施及合理化建议全面、针对性强的，得4分；</w:t>
            </w:r>
          </w:p>
          <w:p>
            <w:pPr>
              <w:pStyle w:val="9"/>
              <w:spacing w:line="360" w:lineRule="exact"/>
              <w:ind w:left="0"/>
              <w:rPr>
                <w:rFonts w:hint="eastAsia" w:ascii="仿宋_GB2312" w:hAnsi="仿宋_GB2312" w:eastAsia="仿宋_GB2312" w:cs="仿宋_GB2312"/>
                <w:snapToGrid w:val="0"/>
                <w:color w:val="000000"/>
                <w:kern w:val="0"/>
                <w:sz w:val="21"/>
                <w:szCs w:val="21"/>
                <w:highlight w:val="none"/>
              </w:rPr>
            </w:pPr>
            <w:r>
              <w:rPr>
                <w:rFonts w:hint="eastAsia" w:ascii="仿宋_GB2312" w:hAnsi="仿宋_GB2312" w:eastAsia="仿宋_GB2312" w:cs="仿宋_GB2312"/>
                <w:snapToGrid w:val="0"/>
                <w:color w:val="000000"/>
                <w:kern w:val="0"/>
                <w:sz w:val="21"/>
                <w:szCs w:val="21"/>
                <w:highlight w:val="none"/>
              </w:rPr>
              <w:t>（2）针对本工程的重点、难点的处理措施及合理化建议贴合本项目的，得3分；</w:t>
            </w:r>
          </w:p>
          <w:p>
            <w:pPr>
              <w:pStyle w:val="9"/>
              <w:spacing w:line="360" w:lineRule="exact"/>
              <w:ind w:left="0"/>
              <w:rPr>
                <w:rFonts w:hint="eastAsia" w:ascii="仿宋_GB2312" w:hAnsi="仿宋_GB2312" w:eastAsia="仿宋_GB2312" w:cs="仿宋_GB2312"/>
                <w:snapToGrid w:val="0"/>
                <w:color w:val="000000"/>
                <w:kern w:val="0"/>
                <w:sz w:val="21"/>
                <w:szCs w:val="21"/>
                <w:highlight w:val="none"/>
              </w:rPr>
            </w:pPr>
            <w:r>
              <w:rPr>
                <w:rFonts w:hint="eastAsia" w:ascii="仿宋_GB2312" w:hAnsi="仿宋_GB2312" w:eastAsia="仿宋_GB2312" w:cs="仿宋_GB2312"/>
                <w:snapToGrid w:val="0"/>
                <w:color w:val="000000"/>
                <w:kern w:val="0"/>
                <w:sz w:val="21"/>
                <w:szCs w:val="21"/>
                <w:highlight w:val="none"/>
              </w:rPr>
              <w:t>（3）针对本工程的重点、难点的处理措施及合理化建议有待完善的，得1分；</w:t>
            </w:r>
          </w:p>
          <w:p>
            <w:pPr>
              <w:pStyle w:val="9"/>
              <w:spacing w:line="360" w:lineRule="exact"/>
              <w:ind w:left="0"/>
              <w:rPr>
                <w:rFonts w:hint="eastAsia" w:ascii="仿宋_GB2312" w:hAnsi="仿宋_GB2312" w:eastAsia="仿宋_GB2312" w:cs="仿宋_GB2312"/>
                <w:snapToGrid w:val="0"/>
                <w:color w:val="000000"/>
                <w:kern w:val="0"/>
                <w:sz w:val="21"/>
                <w:szCs w:val="21"/>
                <w:highlight w:val="none"/>
              </w:rPr>
            </w:pPr>
            <w:r>
              <w:rPr>
                <w:rFonts w:hint="eastAsia" w:ascii="仿宋_GB2312" w:hAnsi="仿宋_GB2312" w:eastAsia="仿宋_GB2312" w:cs="仿宋_GB2312"/>
                <w:snapToGrid w:val="0"/>
                <w:color w:val="000000"/>
                <w:kern w:val="0"/>
                <w:sz w:val="21"/>
                <w:szCs w:val="21"/>
                <w:highlight w:val="none"/>
              </w:rPr>
              <w:t>（4）未提供或不符合要求不得分。</w:t>
            </w:r>
          </w:p>
          <w:p>
            <w:pPr>
              <w:pStyle w:val="9"/>
              <w:spacing w:line="360" w:lineRule="exact"/>
              <w:ind w:left="0"/>
              <w:rPr>
                <w:rFonts w:hint="eastAsia" w:ascii="仿宋_GB2312" w:hAnsi="仿宋_GB2312" w:eastAsia="仿宋_GB2312" w:cs="仿宋_GB2312"/>
                <w:snapToGrid w:val="0"/>
                <w:color w:val="000000"/>
                <w:kern w:val="0"/>
                <w:sz w:val="21"/>
                <w:szCs w:val="21"/>
                <w:highlight w:val="none"/>
              </w:rPr>
            </w:pPr>
            <w:r>
              <w:rPr>
                <w:rFonts w:hint="eastAsia" w:ascii="仿宋_GB2312" w:hAnsi="仿宋_GB2312" w:eastAsia="仿宋_GB2312" w:cs="仿宋_GB2312"/>
                <w:snapToGrid w:val="0"/>
                <w:color w:val="000000"/>
                <w:kern w:val="0"/>
                <w:sz w:val="21"/>
                <w:szCs w:val="21"/>
                <w:highlight w:val="none"/>
              </w:rPr>
              <w:t>10、综合比较投标人监理服务方案中对工程设计图纸及工程项目特点提出合理化建议：</w:t>
            </w:r>
          </w:p>
          <w:p>
            <w:pPr>
              <w:pStyle w:val="9"/>
              <w:spacing w:line="360" w:lineRule="exact"/>
              <w:ind w:left="0"/>
              <w:rPr>
                <w:rFonts w:hint="eastAsia" w:ascii="仿宋_GB2312" w:hAnsi="仿宋_GB2312" w:eastAsia="仿宋_GB2312" w:cs="仿宋_GB2312"/>
                <w:snapToGrid w:val="0"/>
                <w:color w:val="000000"/>
                <w:kern w:val="0"/>
                <w:sz w:val="21"/>
                <w:szCs w:val="21"/>
                <w:highlight w:val="none"/>
              </w:rPr>
            </w:pPr>
            <w:r>
              <w:rPr>
                <w:rFonts w:hint="eastAsia" w:ascii="仿宋_GB2312" w:hAnsi="仿宋_GB2312" w:eastAsia="仿宋_GB2312" w:cs="仿宋_GB2312"/>
                <w:snapToGrid w:val="0"/>
                <w:color w:val="000000"/>
                <w:kern w:val="0"/>
                <w:sz w:val="21"/>
                <w:szCs w:val="21"/>
                <w:highlight w:val="none"/>
              </w:rPr>
              <w:t>（1）合理化建议全面、针对性强的，得4分；</w:t>
            </w:r>
          </w:p>
          <w:p>
            <w:pPr>
              <w:pStyle w:val="9"/>
              <w:spacing w:line="360" w:lineRule="exact"/>
              <w:ind w:left="0"/>
              <w:rPr>
                <w:rFonts w:hint="eastAsia" w:ascii="仿宋_GB2312" w:hAnsi="仿宋_GB2312" w:eastAsia="仿宋_GB2312" w:cs="仿宋_GB2312"/>
                <w:snapToGrid w:val="0"/>
                <w:color w:val="000000"/>
                <w:kern w:val="0"/>
                <w:sz w:val="21"/>
                <w:szCs w:val="21"/>
                <w:highlight w:val="none"/>
              </w:rPr>
            </w:pPr>
            <w:r>
              <w:rPr>
                <w:rFonts w:hint="eastAsia" w:ascii="仿宋_GB2312" w:hAnsi="仿宋_GB2312" w:eastAsia="仿宋_GB2312" w:cs="仿宋_GB2312"/>
                <w:snapToGrid w:val="0"/>
                <w:color w:val="000000"/>
                <w:kern w:val="0"/>
                <w:sz w:val="21"/>
                <w:szCs w:val="21"/>
                <w:highlight w:val="none"/>
              </w:rPr>
              <w:t>（2）合理化建议贴合本项目的，得3分；</w:t>
            </w:r>
          </w:p>
          <w:p>
            <w:pPr>
              <w:pStyle w:val="9"/>
              <w:spacing w:line="360" w:lineRule="exact"/>
              <w:ind w:left="0"/>
              <w:rPr>
                <w:rFonts w:hint="eastAsia" w:ascii="仿宋_GB2312" w:hAnsi="仿宋_GB2312" w:eastAsia="仿宋_GB2312" w:cs="仿宋_GB2312"/>
                <w:snapToGrid w:val="0"/>
                <w:color w:val="000000"/>
                <w:kern w:val="0"/>
                <w:sz w:val="21"/>
                <w:szCs w:val="21"/>
                <w:highlight w:val="none"/>
              </w:rPr>
            </w:pPr>
            <w:r>
              <w:rPr>
                <w:rFonts w:hint="eastAsia" w:ascii="仿宋_GB2312" w:hAnsi="仿宋_GB2312" w:eastAsia="仿宋_GB2312" w:cs="仿宋_GB2312"/>
                <w:snapToGrid w:val="0"/>
                <w:color w:val="000000"/>
                <w:kern w:val="0"/>
                <w:sz w:val="21"/>
                <w:szCs w:val="21"/>
                <w:highlight w:val="none"/>
              </w:rPr>
              <w:t>（3）建议有待完善的，得1分；</w:t>
            </w:r>
          </w:p>
          <w:p>
            <w:pPr>
              <w:pStyle w:val="9"/>
              <w:spacing w:line="360" w:lineRule="exact"/>
              <w:ind w:left="0"/>
              <w:rPr>
                <w:rFonts w:hint="eastAsia" w:ascii="仿宋_GB2312" w:hAnsi="仿宋_GB2312" w:eastAsia="仿宋_GB2312" w:cs="仿宋_GB2312"/>
                <w:snapToGrid w:val="0"/>
                <w:color w:val="000000"/>
                <w:kern w:val="0"/>
                <w:sz w:val="21"/>
                <w:szCs w:val="21"/>
                <w:highlight w:val="none"/>
              </w:rPr>
            </w:pPr>
            <w:r>
              <w:rPr>
                <w:rFonts w:hint="eastAsia" w:ascii="仿宋_GB2312" w:hAnsi="仿宋_GB2312" w:eastAsia="仿宋_GB2312" w:cs="仿宋_GB2312"/>
                <w:snapToGrid w:val="0"/>
                <w:color w:val="000000"/>
                <w:kern w:val="0"/>
                <w:sz w:val="21"/>
                <w:szCs w:val="21"/>
                <w:highlight w:val="none"/>
              </w:rPr>
              <w:t>（4）未提供或不符合要求不得分。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664" w:type="dxa"/>
            <w:noWrap w:val="0"/>
            <w:vAlign w:val="center"/>
          </w:tcPr>
          <w:p>
            <w:pPr>
              <w:adjustRightInd w:val="0"/>
              <w:snapToGrid w:val="0"/>
              <w:spacing w:line="360" w:lineRule="exact"/>
              <w:jc w:val="center"/>
              <w:textAlignment w:val="baseline"/>
              <w:rPr>
                <w:rFonts w:hint="eastAsia" w:ascii="仿宋_GB2312" w:hAnsi="仿宋_GB2312" w:eastAsia="仿宋_GB2312" w:cs="仿宋_GB2312"/>
                <w:snapToGrid w:val="0"/>
                <w:color w:val="000000"/>
                <w:kern w:val="0"/>
                <w:sz w:val="21"/>
                <w:szCs w:val="21"/>
                <w:highlight w:val="none"/>
                <w:lang w:eastAsia="zh-CN"/>
              </w:rPr>
            </w:pPr>
            <w:r>
              <w:rPr>
                <w:rFonts w:hint="eastAsia" w:ascii="仿宋_GB2312" w:hAnsi="仿宋_GB2312" w:eastAsia="仿宋_GB2312" w:cs="仿宋_GB2312"/>
                <w:snapToGrid w:val="0"/>
                <w:color w:val="000000"/>
                <w:kern w:val="0"/>
                <w:sz w:val="21"/>
                <w:szCs w:val="21"/>
                <w:highlight w:val="none"/>
                <w:lang w:val="en-US" w:eastAsia="zh-CN"/>
              </w:rPr>
              <w:t>3</w:t>
            </w:r>
          </w:p>
        </w:tc>
        <w:tc>
          <w:tcPr>
            <w:tcW w:w="1155" w:type="dxa"/>
            <w:noWrap w:val="0"/>
            <w:vAlign w:val="center"/>
          </w:tcPr>
          <w:p>
            <w:pPr>
              <w:adjustRightInd w:val="0"/>
              <w:snapToGrid w:val="0"/>
              <w:spacing w:line="360" w:lineRule="exact"/>
              <w:jc w:val="center"/>
              <w:textAlignment w:val="baseline"/>
              <w:rPr>
                <w:rFonts w:hint="default" w:ascii="仿宋_GB2312" w:hAnsi="仿宋_GB2312" w:eastAsia="仿宋_GB2312" w:cs="仿宋_GB2312"/>
                <w:snapToGrid w:val="0"/>
                <w:color w:val="000000"/>
                <w:kern w:val="0"/>
                <w:sz w:val="21"/>
                <w:szCs w:val="21"/>
                <w:highlight w:val="none"/>
                <w:lang w:val="en-US" w:eastAsia="zh-CN"/>
              </w:rPr>
            </w:pPr>
            <w:r>
              <w:rPr>
                <w:rFonts w:hint="eastAsia" w:ascii="仿宋_GB2312" w:hAnsi="仿宋_GB2312" w:eastAsia="仿宋_GB2312" w:cs="仿宋_GB2312"/>
                <w:snapToGrid w:val="0"/>
                <w:color w:val="000000"/>
                <w:kern w:val="0"/>
                <w:sz w:val="21"/>
                <w:szCs w:val="21"/>
                <w:highlight w:val="none"/>
                <w:lang w:val="en-US" w:eastAsia="zh-CN"/>
              </w:rPr>
              <w:t>业绩</w:t>
            </w:r>
          </w:p>
        </w:tc>
        <w:tc>
          <w:tcPr>
            <w:tcW w:w="675" w:type="dxa"/>
            <w:noWrap w:val="0"/>
            <w:vAlign w:val="center"/>
          </w:tcPr>
          <w:p>
            <w:pPr>
              <w:adjustRightInd w:val="0"/>
              <w:snapToGrid w:val="0"/>
              <w:spacing w:line="360" w:lineRule="exact"/>
              <w:jc w:val="center"/>
              <w:textAlignment w:val="baseline"/>
              <w:rPr>
                <w:rFonts w:hint="default" w:ascii="仿宋_GB2312" w:hAnsi="仿宋_GB2312" w:eastAsia="仿宋_GB2312" w:cs="仿宋_GB2312"/>
                <w:snapToGrid w:val="0"/>
                <w:color w:val="000000"/>
                <w:kern w:val="0"/>
                <w:sz w:val="21"/>
                <w:szCs w:val="21"/>
                <w:highlight w:val="none"/>
                <w:lang w:val="en-US" w:eastAsia="zh-CN"/>
              </w:rPr>
            </w:pPr>
            <w:r>
              <w:rPr>
                <w:rFonts w:hint="eastAsia" w:ascii="仿宋_GB2312" w:hAnsi="仿宋_GB2312" w:eastAsia="仿宋_GB2312" w:cs="仿宋_GB2312"/>
                <w:snapToGrid w:val="0"/>
                <w:color w:val="000000"/>
                <w:kern w:val="0"/>
                <w:sz w:val="21"/>
                <w:szCs w:val="21"/>
                <w:highlight w:val="none"/>
                <w:lang w:val="en-US" w:eastAsia="zh-CN"/>
              </w:rPr>
              <w:t>20</w:t>
            </w:r>
          </w:p>
        </w:tc>
        <w:tc>
          <w:tcPr>
            <w:tcW w:w="7166" w:type="dxa"/>
            <w:noWrap w:val="0"/>
            <w:vAlign w:val="center"/>
          </w:tcPr>
          <w:p>
            <w:pPr>
              <w:adjustRightInd w:val="0"/>
              <w:snapToGrid w:val="0"/>
              <w:spacing w:line="360" w:lineRule="exact"/>
              <w:textAlignment w:val="baseline"/>
              <w:rPr>
                <w:rFonts w:hint="eastAsia" w:ascii="仿宋_GB2312" w:hAnsi="仿宋_GB2312" w:eastAsia="仿宋_GB2312" w:cs="仿宋_GB2312"/>
                <w:snapToGrid w:val="0"/>
                <w:color w:val="000000"/>
                <w:kern w:val="0"/>
                <w:sz w:val="21"/>
                <w:szCs w:val="21"/>
                <w:highlight w:val="none"/>
                <w:lang w:eastAsia="zh-CN"/>
              </w:rPr>
            </w:pPr>
            <w:r>
              <w:rPr>
                <w:rFonts w:hint="eastAsia" w:ascii="仿宋_GB2312" w:hAnsi="仿宋_GB2312" w:eastAsia="仿宋_GB2312" w:cs="仿宋_GB2312"/>
                <w:snapToGrid w:val="0"/>
                <w:color w:val="000000"/>
                <w:kern w:val="0"/>
                <w:sz w:val="21"/>
                <w:szCs w:val="21"/>
                <w:highlight w:val="none"/>
                <w:lang w:eastAsia="zh-CN"/>
              </w:rPr>
              <w:t>自2020年</w:t>
            </w:r>
            <w:r>
              <w:rPr>
                <w:rFonts w:hint="eastAsia" w:ascii="仿宋_GB2312" w:hAnsi="仿宋_GB2312" w:eastAsia="仿宋_GB2312" w:cs="仿宋_GB2312"/>
                <w:snapToGrid w:val="0"/>
                <w:color w:val="000000"/>
                <w:kern w:val="0"/>
                <w:sz w:val="21"/>
                <w:szCs w:val="21"/>
                <w:highlight w:val="none"/>
                <w:lang w:val="en-US" w:eastAsia="zh-CN"/>
              </w:rPr>
              <w:t>7</w:t>
            </w:r>
            <w:r>
              <w:rPr>
                <w:rFonts w:hint="eastAsia" w:ascii="仿宋_GB2312" w:hAnsi="仿宋_GB2312" w:eastAsia="仿宋_GB2312" w:cs="仿宋_GB2312"/>
                <w:snapToGrid w:val="0"/>
                <w:color w:val="000000"/>
                <w:kern w:val="0"/>
                <w:sz w:val="21"/>
                <w:szCs w:val="21"/>
                <w:highlight w:val="none"/>
                <w:lang w:eastAsia="zh-CN"/>
              </w:rPr>
              <w:t>月1日以来（以合同签订时间为准），供应商具有以下业绩：</w:t>
            </w:r>
          </w:p>
          <w:p>
            <w:pPr>
              <w:adjustRightInd w:val="0"/>
              <w:snapToGrid w:val="0"/>
              <w:spacing w:line="360" w:lineRule="exact"/>
              <w:textAlignment w:val="baseline"/>
              <w:rPr>
                <w:rFonts w:hint="eastAsia" w:ascii="仿宋_GB2312" w:hAnsi="仿宋_GB2312" w:eastAsia="仿宋_GB2312" w:cs="仿宋_GB2312"/>
                <w:snapToGrid w:val="0"/>
                <w:color w:val="000000"/>
                <w:kern w:val="0"/>
                <w:sz w:val="21"/>
                <w:szCs w:val="21"/>
                <w:highlight w:val="none"/>
                <w:lang w:eastAsia="zh-CN"/>
              </w:rPr>
            </w:pPr>
            <w:r>
              <w:rPr>
                <w:rFonts w:hint="eastAsia" w:ascii="仿宋_GB2312" w:hAnsi="仿宋_GB2312" w:eastAsia="仿宋_GB2312" w:cs="仿宋_GB2312"/>
                <w:snapToGrid w:val="0"/>
                <w:color w:val="000000"/>
                <w:kern w:val="0"/>
                <w:sz w:val="21"/>
                <w:szCs w:val="21"/>
                <w:highlight w:val="none"/>
                <w:lang w:eastAsia="zh-CN"/>
              </w:rPr>
              <w:t>1.</w:t>
            </w:r>
            <w:r>
              <w:rPr>
                <w:rFonts w:hint="eastAsia" w:ascii="仿宋_GB2312" w:hAnsi="仿宋_GB2312" w:eastAsia="仿宋_GB2312" w:cs="仿宋_GB2312"/>
                <w:snapToGrid w:val="0"/>
                <w:color w:val="000000"/>
                <w:kern w:val="0"/>
                <w:sz w:val="21"/>
                <w:szCs w:val="21"/>
                <w:highlight w:val="none"/>
                <w:lang w:val="en-US" w:eastAsia="zh-CN"/>
              </w:rPr>
              <w:t>每提供1个</w:t>
            </w:r>
            <w:r>
              <w:rPr>
                <w:rFonts w:hint="eastAsia" w:ascii="仿宋_GB2312" w:hAnsi="仿宋_GB2312" w:eastAsia="仿宋_GB2312" w:cs="仿宋_GB2312"/>
                <w:snapToGrid w:val="0"/>
                <w:color w:val="000000"/>
                <w:kern w:val="0"/>
                <w:sz w:val="21"/>
                <w:szCs w:val="21"/>
                <w:highlight w:val="none"/>
                <w:lang w:eastAsia="zh-CN"/>
              </w:rPr>
              <w:t>同类型项目</w:t>
            </w:r>
            <w:r>
              <w:rPr>
                <w:rFonts w:hint="eastAsia" w:ascii="仿宋_GB2312" w:hAnsi="仿宋_GB2312" w:eastAsia="仿宋_GB2312" w:cs="仿宋_GB2312"/>
                <w:snapToGrid w:val="0"/>
                <w:color w:val="000000"/>
                <w:kern w:val="0"/>
                <w:sz w:val="21"/>
                <w:szCs w:val="21"/>
                <w:highlight w:val="none"/>
                <w:lang w:val="en-US" w:eastAsia="zh-CN"/>
              </w:rPr>
              <w:t>监理的</w:t>
            </w:r>
            <w:r>
              <w:rPr>
                <w:rFonts w:hint="eastAsia" w:ascii="仿宋_GB2312" w:hAnsi="仿宋_GB2312" w:eastAsia="仿宋_GB2312" w:cs="仿宋_GB2312"/>
                <w:snapToGrid w:val="0"/>
                <w:color w:val="000000"/>
                <w:kern w:val="0"/>
                <w:sz w:val="21"/>
                <w:szCs w:val="21"/>
                <w:highlight w:val="none"/>
                <w:lang w:eastAsia="zh-CN"/>
              </w:rPr>
              <w:t>得5分；本小项满分</w:t>
            </w:r>
            <w:r>
              <w:rPr>
                <w:rFonts w:hint="eastAsia" w:ascii="仿宋_GB2312" w:hAnsi="仿宋_GB2312" w:eastAsia="仿宋_GB2312" w:cs="仿宋_GB2312"/>
                <w:snapToGrid w:val="0"/>
                <w:color w:val="000000"/>
                <w:kern w:val="0"/>
                <w:sz w:val="21"/>
                <w:szCs w:val="21"/>
                <w:highlight w:val="none"/>
                <w:lang w:val="en-US" w:eastAsia="zh-CN"/>
              </w:rPr>
              <w:t>2</w:t>
            </w:r>
            <w:r>
              <w:rPr>
                <w:rFonts w:hint="eastAsia" w:ascii="仿宋_GB2312" w:hAnsi="仿宋_GB2312" w:eastAsia="仿宋_GB2312" w:cs="仿宋_GB2312"/>
                <w:snapToGrid w:val="0"/>
                <w:color w:val="000000"/>
                <w:kern w:val="0"/>
                <w:sz w:val="21"/>
                <w:szCs w:val="21"/>
                <w:highlight w:val="none"/>
                <w:lang w:eastAsia="zh-CN"/>
              </w:rPr>
              <w:t>0分。</w:t>
            </w:r>
          </w:p>
          <w:p>
            <w:pPr>
              <w:adjustRightInd w:val="0"/>
              <w:snapToGrid w:val="0"/>
              <w:spacing w:line="360" w:lineRule="exact"/>
              <w:textAlignment w:val="baseline"/>
              <w:rPr>
                <w:rFonts w:hint="eastAsia" w:ascii="仿宋_GB2312" w:hAnsi="仿宋_GB2312" w:eastAsia="仿宋_GB2312" w:cs="仿宋_GB2312"/>
                <w:snapToGrid w:val="0"/>
                <w:color w:val="000000"/>
                <w:kern w:val="0"/>
                <w:sz w:val="21"/>
                <w:szCs w:val="21"/>
                <w:highlight w:val="none"/>
                <w:lang w:eastAsia="zh-CN"/>
              </w:rPr>
            </w:pPr>
            <w:r>
              <w:rPr>
                <w:rFonts w:hint="eastAsia" w:ascii="仿宋_GB2312" w:hAnsi="仿宋_GB2312" w:eastAsia="仿宋_GB2312" w:cs="仿宋_GB2312"/>
                <w:snapToGrid w:val="0"/>
                <w:color w:val="000000"/>
                <w:kern w:val="0"/>
                <w:sz w:val="21"/>
                <w:szCs w:val="21"/>
                <w:highlight w:val="none"/>
                <w:lang w:eastAsia="zh-CN"/>
              </w:rPr>
              <w:t>注：业绩须同时满足以下条件方可计分：</w:t>
            </w:r>
          </w:p>
          <w:p>
            <w:pPr>
              <w:adjustRightInd w:val="0"/>
              <w:snapToGrid w:val="0"/>
              <w:spacing w:line="360" w:lineRule="exact"/>
              <w:textAlignment w:val="baseline"/>
              <w:rPr>
                <w:rFonts w:hint="eastAsia" w:ascii="仿宋_GB2312" w:hAnsi="仿宋_GB2312" w:eastAsia="仿宋_GB2312" w:cs="仿宋_GB2312"/>
                <w:snapToGrid w:val="0"/>
                <w:color w:val="000000"/>
                <w:kern w:val="0"/>
                <w:sz w:val="21"/>
                <w:szCs w:val="21"/>
                <w:highlight w:val="none"/>
                <w:lang w:eastAsia="zh-CN"/>
              </w:rPr>
            </w:pPr>
            <w:r>
              <w:rPr>
                <w:rFonts w:hint="eastAsia" w:ascii="仿宋_GB2312" w:hAnsi="仿宋_GB2312" w:eastAsia="仿宋_GB2312" w:cs="仿宋_GB2312"/>
                <w:snapToGrid w:val="0"/>
                <w:color w:val="000000"/>
                <w:kern w:val="0"/>
                <w:sz w:val="21"/>
                <w:szCs w:val="21"/>
                <w:highlight w:val="none"/>
                <w:lang w:eastAsia="zh-CN"/>
              </w:rPr>
              <w:t>（1）业绩为2020年</w:t>
            </w:r>
            <w:r>
              <w:rPr>
                <w:rFonts w:hint="eastAsia" w:ascii="仿宋_GB2312" w:hAnsi="仿宋_GB2312" w:eastAsia="仿宋_GB2312" w:cs="仿宋_GB2312"/>
                <w:snapToGrid w:val="0"/>
                <w:color w:val="000000"/>
                <w:kern w:val="0"/>
                <w:sz w:val="21"/>
                <w:szCs w:val="21"/>
                <w:highlight w:val="none"/>
                <w:lang w:val="en-US" w:eastAsia="zh-CN"/>
              </w:rPr>
              <w:t>7</w:t>
            </w:r>
            <w:r>
              <w:rPr>
                <w:rFonts w:hint="eastAsia" w:ascii="仿宋_GB2312" w:hAnsi="仿宋_GB2312" w:eastAsia="仿宋_GB2312" w:cs="仿宋_GB2312"/>
                <w:snapToGrid w:val="0"/>
                <w:color w:val="000000"/>
                <w:kern w:val="0"/>
                <w:sz w:val="21"/>
                <w:szCs w:val="21"/>
                <w:highlight w:val="none"/>
                <w:lang w:eastAsia="zh-CN"/>
              </w:rPr>
              <w:t>月1日以来（以合同签订时间为准，未体现合同签订时间的不予计分）的业绩。</w:t>
            </w:r>
          </w:p>
          <w:p>
            <w:pPr>
              <w:adjustRightInd w:val="0"/>
              <w:snapToGrid w:val="0"/>
              <w:spacing w:line="360" w:lineRule="exact"/>
              <w:textAlignment w:val="baseline"/>
              <w:rPr>
                <w:rFonts w:hint="eastAsia" w:ascii="仿宋_GB2312" w:hAnsi="仿宋_GB2312" w:eastAsia="仿宋_GB2312" w:cs="仿宋_GB2312"/>
                <w:snapToGrid w:val="0"/>
                <w:color w:val="000000"/>
                <w:kern w:val="0"/>
                <w:sz w:val="21"/>
                <w:szCs w:val="21"/>
                <w:highlight w:val="none"/>
                <w:lang w:eastAsia="zh-CN"/>
              </w:rPr>
            </w:pPr>
            <w:r>
              <w:rPr>
                <w:rFonts w:hint="eastAsia" w:ascii="仿宋_GB2312" w:hAnsi="仿宋_GB2312" w:eastAsia="仿宋_GB2312" w:cs="仿宋_GB2312"/>
                <w:snapToGrid w:val="0"/>
                <w:color w:val="000000"/>
                <w:kern w:val="0"/>
                <w:sz w:val="21"/>
                <w:szCs w:val="21"/>
                <w:highlight w:val="none"/>
                <w:lang w:eastAsia="zh-CN"/>
              </w:rPr>
              <w:t>（2）须提供合同复印件或扫描件（包括但不限于合同首页、合同标的页、合同签章页）作为证明材料，否则不予计分。</w:t>
            </w:r>
          </w:p>
          <w:p>
            <w:pPr>
              <w:adjustRightInd w:val="0"/>
              <w:snapToGrid w:val="0"/>
              <w:spacing w:line="360" w:lineRule="exact"/>
              <w:textAlignment w:val="baseline"/>
              <w:rPr>
                <w:rFonts w:hint="eastAsia" w:ascii="仿宋_GB2312" w:hAnsi="仿宋_GB2312" w:eastAsia="仿宋_GB2312" w:cs="仿宋_GB2312"/>
                <w:snapToGrid w:val="0"/>
                <w:color w:val="000000"/>
                <w:kern w:val="0"/>
                <w:sz w:val="21"/>
                <w:szCs w:val="21"/>
                <w:highlight w:val="none"/>
              </w:rPr>
            </w:pPr>
            <w:r>
              <w:rPr>
                <w:rFonts w:hint="eastAsia" w:ascii="仿宋_GB2312" w:hAnsi="仿宋_GB2312" w:eastAsia="仿宋_GB2312" w:cs="仿宋_GB2312"/>
                <w:snapToGrid w:val="0"/>
                <w:color w:val="000000"/>
                <w:kern w:val="0"/>
                <w:sz w:val="21"/>
                <w:szCs w:val="21"/>
                <w:highlight w:val="none"/>
                <w:lang w:eastAsia="zh-CN"/>
              </w:rPr>
              <w:t>（3）若合同中无法体现相关内容的，文件中另须提供合同甲方出具的证明材料复印件，合同甲方证明材料的出具单位所盖公章名称必须与合同甲方名称一致，否则不予计分。相关证明材料格式自拟。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664" w:type="dxa"/>
            <w:noWrap w:val="0"/>
            <w:vAlign w:val="center"/>
          </w:tcPr>
          <w:p>
            <w:pPr>
              <w:adjustRightInd w:val="0"/>
              <w:snapToGrid w:val="0"/>
              <w:spacing w:line="360" w:lineRule="exact"/>
              <w:jc w:val="center"/>
              <w:textAlignment w:val="baseline"/>
              <w:rPr>
                <w:rFonts w:hint="eastAsia" w:ascii="仿宋_GB2312" w:hAnsi="仿宋_GB2312" w:eastAsia="仿宋_GB2312" w:cs="仿宋_GB2312"/>
                <w:snapToGrid w:val="0"/>
                <w:color w:val="000000"/>
                <w:kern w:val="0"/>
                <w:sz w:val="21"/>
                <w:szCs w:val="21"/>
                <w:highlight w:val="none"/>
                <w:lang w:eastAsia="zh-CN"/>
              </w:rPr>
            </w:pPr>
            <w:r>
              <w:rPr>
                <w:rFonts w:hint="eastAsia" w:ascii="仿宋_GB2312" w:hAnsi="仿宋_GB2312" w:eastAsia="仿宋_GB2312" w:cs="仿宋_GB2312"/>
                <w:snapToGrid w:val="0"/>
                <w:color w:val="000000"/>
                <w:kern w:val="0"/>
                <w:sz w:val="21"/>
                <w:szCs w:val="21"/>
                <w:highlight w:val="none"/>
                <w:lang w:val="en-US" w:eastAsia="zh-CN"/>
              </w:rPr>
              <w:t>4</w:t>
            </w:r>
          </w:p>
        </w:tc>
        <w:tc>
          <w:tcPr>
            <w:tcW w:w="1155" w:type="dxa"/>
            <w:noWrap w:val="0"/>
            <w:vAlign w:val="center"/>
          </w:tcPr>
          <w:p>
            <w:pPr>
              <w:adjustRightInd w:val="0"/>
              <w:snapToGrid w:val="0"/>
              <w:spacing w:line="360" w:lineRule="exact"/>
              <w:jc w:val="center"/>
              <w:textAlignment w:val="baseline"/>
              <w:rPr>
                <w:rFonts w:hint="default" w:ascii="仿宋_GB2312" w:hAnsi="仿宋_GB2312" w:eastAsia="仿宋_GB2312" w:cs="仿宋_GB2312"/>
                <w:snapToGrid w:val="0"/>
                <w:color w:val="000000"/>
                <w:kern w:val="0"/>
                <w:sz w:val="21"/>
                <w:szCs w:val="21"/>
                <w:highlight w:val="none"/>
                <w:lang w:val="en-US" w:eastAsia="zh-CN"/>
              </w:rPr>
            </w:pPr>
            <w:r>
              <w:rPr>
                <w:rFonts w:hint="eastAsia" w:ascii="仿宋_GB2312" w:hAnsi="仿宋_GB2312" w:eastAsia="仿宋_GB2312" w:cs="仿宋_GB2312"/>
                <w:snapToGrid w:val="0"/>
                <w:color w:val="000000"/>
                <w:kern w:val="0"/>
                <w:sz w:val="21"/>
                <w:szCs w:val="21"/>
                <w:highlight w:val="none"/>
                <w:lang w:val="en-US" w:eastAsia="zh-CN"/>
              </w:rPr>
              <w:t>投标报价</w:t>
            </w:r>
          </w:p>
        </w:tc>
        <w:tc>
          <w:tcPr>
            <w:tcW w:w="675" w:type="dxa"/>
            <w:noWrap w:val="0"/>
            <w:vAlign w:val="center"/>
          </w:tcPr>
          <w:p>
            <w:pPr>
              <w:adjustRightInd w:val="0"/>
              <w:snapToGrid w:val="0"/>
              <w:spacing w:line="360" w:lineRule="exact"/>
              <w:jc w:val="center"/>
              <w:textAlignment w:val="baseline"/>
              <w:rPr>
                <w:rFonts w:hint="default" w:ascii="仿宋_GB2312" w:hAnsi="仿宋_GB2312" w:eastAsia="仿宋_GB2312" w:cs="仿宋_GB2312"/>
                <w:snapToGrid w:val="0"/>
                <w:color w:val="000000"/>
                <w:kern w:val="0"/>
                <w:sz w:val="21"/>
                <w:szCs w:val="21"/>
                <w:highlight w:val="none"/>
                <w:lang w:val="en-US" w:eastAsia="zh-CN"/>
              </w:rPr>
            </w:pPr>
            <w:r>
              <w:rPr>
                <w:rFonts w:hint="eastAsia" w:ascii="仿宋_GB2312" w:hAnsi="仿宋_GB2312" w:eastAsia="仿宋_GB2312" w:cs="仿宋_GB2312"/>
                <w:snapToGrid w:val="0"/>
                <w:color w:val="000000"/>
                <w:kern w:val="0"/>
                <w:sz w:val="21"/>
                <w:szCs w:val="21"/>
                <w:highlight w:val="none"/>
                <w:lang w:val="en-US" w:eastAsia="zh-CN"/>
              </w:rPr>
              <w:t>30</w:t>
            </w:r>
          </w:p>
        </w:tc>
        <w:tc>
          <w:tcPr>
            <w:tcW w:w="7166" w:type="dxa"/>
            <w:noWrap w:val="0"/>
            <w:vAlign w:val="center"/>
          </w:tcPr>
          <w:p>
            <w:pPr>
              <w:adjustRightInd w:val="0"/>
              <w:snapToGrid w:val="0"/>
              <w:spacing w:line="360" w:lineRule="exact"/>
              <w:textAlignment w:val="baseline"/>
              <w:rPr>
                <w:rFonts w:hint="eastAsia" w:ascii="仿宋_GB2312" w:hAnsi="仿宋_GB2312" w:eastAsia="仿宋_GB2312" w:cs="仿宋_GB2312"/>
                <w:snapToGrid w:val="0"/>
                <w:color w:val="000000"/>
                <w:kern w:val="0"/>
                <w:sz w:val="21"/>
                <w:szCs w:val="21"/>
                <w:highlight w:val="none"/>
              </w:rPr>
            </w:pPr>
            <w:r>
              <w:rPr>
                <w:rFonts w:hint="eastAsia" w:ascii="仿宋_GB2312" w:hAnsi="仿宋_GB2312" w:eastAsia="仿宋_GB2312" w:cs="仿宋_GB2312"/>
                <w:snapToGrid w:val="0"/>
                <w:color w:val="000000"/>
                <w:kern w:val="0"/>
                <w:sz w:val="21"/>
                <w:szCs w:val="21"/>
                <w:highlight w:val="none"/>
              </w:rPr>
              <w:t>通过资格评审及符合性评审的投标人算出平均价，其投标报价等于平均价的得满分30分，投标报价每高于平均价1%的，扣0.2分，投标报价每低于平均价1%的，扣0.1分。其他投标人的报价得分统一按照下列公式计算：当投标报价高于平均价时，投标报价得分=50-{(投标报价-平均价)／平均价)}×100×0.2；当投标报价低于平均价时，投标报价得分=50-{(平均价-投标报价)／平均价)}×100×0.1；当得分小于0分，均按0分计算。(小数点超过两位的均保留两位小数，小数点后第三位四舍五入)</w:t>
            </w:r>
          </w:p>
        </w:tc>
      </w:tr>
    </w:tbl>
    <w:p>
      <w:pPr>
        <w:rPr>
          <w:rFonts w:hint="eastAsia"/>
          <w:sz w:val="28"/>
          <w:szCs w:val="28"/>
          <w:lang w:val="en-US" w:eastAsia="zh-CN"/>
        </w:rPr>
      </w:pPr>
      <w:r>
        <w:rPr>
          <w:rFonts w:hint="eastAsia"/>
          <w:sz w:val="28"/>
          <w:szCs w:val="28"/>
          <w:lang w:val="en-US" w:eastAsia="zh-CN"/>
        </w:rPr>
        <w:t>注：</w:t>
      </w:r>
    </w:p>
    <w:p>
      <w:pPr>
        <w:ind w:firstLine="560" w:firstLineChars="200"/>
        <w:rPr>
          <w:rFonts w:hint="default"/>
          <w:sz w:val="28"/>
          <w:szCs w:val="28"/>
          <w:lang w:val="en-US" w:eastAsia="zh-CN"/>
        </w:rPr>
      </w:pPr>
      <w:r>
        <w:rPr>
          <w:rFonts w:hint="eastAsia"/>
          <w:sz w:val="28"/>
          <w:szCs w:val="28"/>
          <w:lang w:val="en-US" w:eastAsia="zh-CN"/>
        </w:rPr>
        <w:t>1、评审事宜：</w:t>
      </w:r>
    </w:p>
    <w:p>
      <w:pPr>
        <w:ind w:firstLine="560" w:firstLineChars="200"/>
        <w:rPr>
          <w:rFonts w:hint="eastAsia"/>
          <w:sz w:val="28"/>
          <w:szCs w:val="28"/>
          <w:lang w:val="en-US" w:eastAsia="zh-CN"/>
        </w:rPr>
      </w:pPr>
      <w:r>
        <w:rPr>
          <w:rFonts w:hint="eastAsia"/>
          <w:sz w:val="28"/>
          <w:szCs w:val="28"/>
          <w:lang w:val="en-US" w:eastAsia="zh-CN"/>
        </w:rPr>
        <w:t>（1）本次评审采用综合评分法。评审委员对满足实质性要求的响应文件，按照规定的评分标准进行打分，并按得分由高到低顺序推荐成交供应商或确定成交候选供应商的顺序。</w:t>
      </w:r>
    </w:p>
    <w:p>
      <w:pPr>
        <w:ind w:firstLine="560" w:firstLineChars="200"/>
        <w:rPr>
          <w:rFonts w:hint="eastAsia"/>
          <w:sz w:val="28"/>
          <w:szCs w:val="28"/>
        </w:rPr>
      </w:pPr>
      <w:r>
        <w:rPr>
          <w:rFonts w:hint="eastAsia"/>
          <w:sz w:val="28"/>
          <w:szCs w:val="28"/>
          <w:lang w:val="en-US" w:eastAsia="zh-CN"/>
        </w:rPr>
        <w:t>（2）</w:t>
      </w:r>
      <w:r>
        <w:rPr>
          <w:rFonts w:hint="eastAsia"/>
          <w:sz w:val="28"/>
          <w:szCs w:val="28"/>
        </w:rPr>
        <w:t>在评审过程中，评</w:t>
      </w:r>
      <w:r>
        <w:rPr>
          <w:rFonts w:hint="eastAsia"/>
          <w:sz w:val="28"/>
          <w:szCs w:val="28"/>
          <w:lang w:val="en-US" w:eastAsia="zh-CN"/>
        </w:rPr>
        <w:t>审委员</w:t>
      </w:r>
      <w:r>
        <w:rPr>
          <w:rFonts w:hint="eastAsia"/>
          <w:sz w:val="28"/>
          <w:szCs w:val="28"/>
        </w:rPr>
        <w:t>发现投标人的报价明显不合理或者明显低于其他投标报价，有可能影响服务质量和不能诚信履约的，应当要求其予以解释说明，并提交相关证明材料；否则，评委会可以认定该投标报价为无效报价，作否决投标处理，且不参与评标基准价的计算。投标人投标时，自行决定是否另行携带投标报价合理性的证明材料，投标人单方面承担由于未携带证明材料而产生的一切风险和后果。</w:t>
      </w:r>
    </w:p>
    <w:p>
      <w:pPr>
        <w:ind w:firstLine="560" w:firstLineChars="200"/>
        <w:rPr>
          <w:rFonts w:hint="eastAsia"/>
          <w:sz w:val="28"/>
          <w:szCs w:val="28"/>
        </w:rPr>
      </w:pPr>
      <w:r>
        <w:rPr>
          <w:rFonts w:hint="eastAsia"/>
          <w:sz w:val="28"/>
          <w:szCs w:val="28"/>
          <w:lang w:val="en-US" w:eastAsia="zh-CN"/>
        </w:rPr>
        <w:t>（3）供应商的</w:t>
      </w:r>
      <w:r>
        <w:rPr>
          <w:rFonts w:hint="eastAsia"/>
          <w:sz w:val="28"/>
          <w:szCs w:val="28"/>
        </w:rPr>
        <w:t>最终得分为各评委总分的算术平均分，分数出现小数点，保留小数点后两位，第三位小数四舍五入。</w:t>
      </w:r>
    </w:p>
    <w:p>
      <w:pPr>
        <w:ind w:firstLine="560" w:firstLineChars="200"/>
        <w:rPr>
          <w:rFonts w:hint="eastAsia"/>
          <w:sz w:val="28"/>
          <w:szCs w:val="28"/>
        </w:rPr>
      </w:pPr>
      <w:r>
        <w:rPr>
          <w:rFonts w:hint="eastAsia"/>
          <w:sz w:val="28"/>
          <w:szCs w:val="28"/>
          <w:lang w:eastAsia="zh-CN"/>
        </w:rPr>
        <w:t>（</w:t>
      </w:r>
      <w:r>
        <w:rPr>
          <w:rFonts w:hint="eastAsia"/>
          <w:sz w:val="28"/>
          <w:szCs w:val="28"/>
          <w:lang w:val="en-US" w:eastAsia="zh-CN"/>
        </w:rPr>
        <w:t>4</w:t>
      </w:r>
      <w:r>
        <w:rPr>
          <w:rFonts w:hint="eastAsia"/>
          <w:sz w:val="28"/>
          <w:szCs w:val="28"/>
          <w:lang w:eastAsia="zh-CN"/>
        </w:rPr>
        <w:t>）</w:t>
      </w:r>
      <w:r>
        <w:rPr>
          <w:rFonts w:hint="eastAsia"/>
          <w:sz w:val="28"/>
          <w:szCs w:val="28"/>
        </w:rPr>
        <w:t xml:space="preserve">响应文件中提供的证明材料（文字、图片）不完整、模糊不清、不准确，造成评审小组的误评、错评及不利的评审后果由供应商自行承担。 </w:t>
      </w:r>
    </w:p>
    <w:p>
      <w:pPr>
        <w:ind w:firstLine="560" w:firstLineChars="200"/>
        <w:rPr>
          <w:rFonts w:hint="eastAsia"/>
          <w:sz w:val="28"/>
          <w:szCs w:val="28"/>
        </w:rPr>
      </w:pPr>
      <w:r>
        <w:rPr>
          <w:rFonts w:hint="eastAsia"/>
          <w:sz w:val="28"/>
          <w:szCs w:val="28"/>
          <w:lang w:eastAsia="zh-CN"/>
        </w:rPr>
        <w:t>（</w:t>
      </w:r>
      <w:r>
        <w:rPr>
          <w:rFonts w:hint="eastAsia"/>
          <w:sz w:val="28"/>
          <w:szCs w:val="28"/>
          <w:lang w:val="en-US" w:eastAsia="zh-CN"/>
        </w:rPr>
        <w:t>5</w:t>
      </w:r>
      <w:r>
        <w:rPr>
          <w:rFonts w:hint="eastAsia"/>
          <w:sz w:val="28"/>
          <w:szCs w:val="28"/>
          <w:lang w:eastAsia="zh-CN"/>
        </w:rPr>
        <w:t>）</w:t>
      </w:r>
      <w:r>
        <w:rPr>
          <w:rFonts w:hint="eastAsia"/>
          <w:sz w:val="28"/>
          <w:szCs w:val="28"/>
        </w:rPr>
        <w:t xml:space="preserve">响应文件中提供的证明材料（文字、图片）须保证真实有效，如发现与事实不符，采购人有权取消成交供应商资格。 </w:t>
      </w:r>
    </w:p>
    <w:p>
      <w:pPr>
        <w:ind w:firstLine="560" w:firstLineChars="200"/>
        <w:rPr>
          <w:rFonts w:hint="default" w:eastAsiaTheme="minorEastAsia"/>
          <w:lang w:val="en-US" w:eastAsia="zh-CN"/>
        </w:rPr>
      </w:pPr>
      <w:r>
        <w:rPr>
          <w:rFonts w:hint="eastAsia"/>
          <w:sz w:val="28"/>
          <w:szCs w:val="28"/>
          <w:lang w:val="en-US" w:eastAsia="zh-CN"/>
        </w:rPr>
        <w:t>2、其它补充事宜：</w:t>
      </w:r>
    </w:p>
    <w:p>
      <w:pPr>
        <w:ind w:firstLine="560" w:firstLineChars="200"/>
        <w:rPr>
          <w:rFonts w:hint="eastAsia"/>
          <w:sz w:val="28"/>
          <w:szCs w:val="28"/>
          <w:lang w:val="en-US" w:eastAsia="zh-CN"/>
        </w:rPr>
      </w:pPr>
      <w:r>
        <w:rPr>
          <w:rFonts w:hint="eastAsia"/>
          <w:sz w:val="28"/>
          <w:szCs w:val="28"/>
          <w:lang w:val="en-US" w:eastAsia="zh-CN"/>
        </w:rPr>
        <w:t>（1）本项目不收投标保证金；</w:t>
      </w:r>
    </w:p>
    <w:p>
      <w:pPr>
        <w:ind w:firstLine="560" w:firstLineChars="200"/>
        <w:rPr>
          <w:rFonts w:hint="eastAsia"/>
          <w:sz w:val="28"/>
          <w:szCs w:val="28"/>
          <w:lang w:val="en-US" w:eastAsia="zh-CN"/>
        </w:rPr>
      </w:pPr>
      <w:r>
        <w:rPr>
          <w:rFonts w:hint="eastAsia"/>
          <w:sz w:val="28"/>
          <w:szCs w:val="28"/>
          <w:lang w:val="en-US" w:eastAsia="zh-CN"/>
        </w:rPr>
        <w:t>（2）履约保证金按照签约合同价的5%收取；</w:t>
      </w:r>
    </w:p>
    <w:p>
      <w:pPr>
        <w:ind w:firstLine="560" w:firstLineChars="200"/>
        <w:rPr>
          <w:rFonts w:hint="default" w:eastAsia="宋体"/>
          <w:sz w:val="28"/>
          <w:szCs w:val="28"/>
          <w:lang w:val="en-US" w:eastAsia="zh-CN"/>
        </w:rPr>
      </w:pPr>
      <w:r>
        <w:rPr>
          <w:rFonts w:hint="eastAsia"/>
          <w:sz w:val="28"/>
          <w:szCs w:val="28"/>
          <w:lang w:val="en-US" w:eastAsia="zh-CN"/>
        </w:rPr>
        <w:t>（3）</w:t>
      </w:r>
      <w:r>
        <w:rPr>
          <w:rFonts w:hint="eastAsia"/>
          <w:sz w:val="28"/>
          <w:szCs w:val="28"/>
        </w:rPr>
        <w:t>通过资格性审查的供应商不足3家的</w:t>
      </w:r>
      <w:r>
        <w:rPr>
          <w:rFonts w:hint="eastAsia"/>
          <w:sz w:val="28"/>
          <w:szCs w:val="28"/>
          <w:lang w:eastAsia="zh-CN"/>
        </w:rPr>
        <w:t>，</w:t>
      </w:r>
      <w:r>
        <w:rPr>
          <w:rFonts w:hint="eastAsia"/>
          <w:sz w:val="28"/>
          <w:szCs w:val="28"/>
          <w:lang w:val="en-US" w:eastAsia="zh-CN"/>
        </w:rPr>
        <w:t>将终止采购活动。</w:t>
      </w:r>
    </w:p>
    <w:p>
      <w:pPr>
        <w:ind w:firstLine="560" w:firstLineChars="200"/>
        <w:rPr>
          <w:rFonts w:hint="eastAsia"/>
          <w:sz w:val="28"/>
          <w:szCs w:val="28"/>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E7831F"/>
    <w:multiLevelType w:val="singleLevel"/>
    <w:tmpl w:val="E5E7831F"/>
    <w:lvl w:ilvl="0" w:tentative="0">
      <w:start w:val="1"/>
      <w:numFmt w:val="chineseCounting"/>
      <w:suff w:val="nothing"/>
      <w:lvlText w:val="%1、"/>
      <w:lvlJc w:val="left"/>
      <w:rPr>
        <w:rFonts w:hint="eastAsia"/>
      </w:rPr>
    </w:lvl>
  </w:abstractNum>
  <w:abstractNum w:abstractNumId="1">
    <w:nsid w:val="68946038"/>
    <w:multiLevelType w:val="singleLevel"/>
    <w:tmpl w:val="68946038"/>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4Mzk3ZmVlYjRlYjdlNGQ1YThlYTNkYTg2ZTM1MTEifQ=="/>
  </w:docVars>
  <w:rsids>
    <w:rsidRoot w:val="65F9346E"/>
    <w:rsid w:val="0F80697A"/>
    <w:rsid w:val="1D105997"/>
    <w:rsid w:val="23A82066"/>
    <w:rsid w:val="2CA94518"/>
    <w:rsid w:val="2D2200EA"/>
    <w:rsid w:val="34096603"/>
    <w:rsid w:val="35571310"/>
    <w:rsid w:val="3E605DE6"/>
    <w:rsid w:val="419D6929"/>
    <w:rsid w:val="44520CA4"/>
    <w:rsid w:val="48062E85"/>
    <w:rsid w:val="536846E4"/>
    <w:rsid w:val="542D5CAB"/>
    <w:rsid w:val="549E27D9"/>
    <w:rsid w:val="591560FE"/>
    <w:rsid w:val="5A161923"/>
    <w:rsid w:val="5FDE09EC"/>
    <w:rsid w:val="65F9346E"/>
    <w:rsid w:val="71DD0D23"/>
    <w:rsid w:val="72CB7713"/>
    <w:rsid w:val="73706F6D"/>
    <w:rsid w:val="73D623CE"/>
    <w:rsid w:val="74E91C2E"/>
    <w:rsid w:val="7A4872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next w:val="3"/>
    <w:qFormat/>
    <w:uiPriority w:val="0"/>
    <w:pPr>
      <w:widowControl w:val="0"/>
      <w:spacing w:after="120" w:afterLines="0"/>
      <w:jc w:val="both"/>
    </w:pPr>
    <w:rPr>
      <w:rFonts w:ascii="Calibri" w:hAnsi="Calibri" w:eastAsia="宋体" w:cs="Times New Roman"/>
      <w:kern w:val="2"/>
      <w:sz w:val="21"/>
      <w:szCs w:val="24"/>
      <w:lang w:val="en-US" w:eastAsia="zh-CN" w:bidi="ar-SA"/>
    </w:rPr>
  </w:style>
  <w:style w:type="paragraph" w:styleId="3">
    <w:name w:val="Body Text First Indent"/>
    <w:next w:val="4"/>
    <w:qFormat/>
    <w:uiPriority w:val="0"/>
    <w:pPr>
      <w:widowControl w:val="0"/>
      <w:spacing w:after="120" w:afterLines="0"/>
      <w:ind w:firstLine="420" w:firstLineChars="100"/>
      <w:jc w:val="both"/>
    </w:pPr>
    <w:rPr>
      <w:rFonts w:ascii="Arial" w:hAnsi="Arial" w:eastAsia="宋体" w:cs="Times New Roman"/>
      <w:kern w:val="2"/>
      <w:sz w:val="21"/>
      <w:szCs w:val="24"/>
      <w:lang w:val="en-US" w:eastAsia="zh-CN" w:bidi="ar-SA"/>
    </w:rPr>
  </w:style>
  <w:style w:type="paragraph" w:styleId="4">
    <w:name w:val="toc 6"/>
    <w:next w:val="1"/>
    <w:semiHidden/>
    <w:qFormat/>
    <w:uiPriority w:val="0"/>
    <w:pPr>
      <w:widowControl w:val="0"/>
      <w:ind w:left="1050"/>
      <w:jc w:val="left"/>
    </w:pPr>
    <w:rPr>
      <w:rFonts w:ascii="Calibri" w:hAnsi="Calibri" w:eastAsia="宋体" w:cs="Times New Roman"/>
      <w:kern w:val="2"/>
      <w:sz w:val="18"/>
      <w:szCs w:val="18"/>
      <w:lang w:val="en-US" w:eastAsia="zh-CN" w:bidi="ar-SA"/>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_Style 10"/>
    <w:next w:val="1"/>
    <w:qFormat/>
    <w:uiPriority w:val="0"/>
    <w:pPr>
      <w:widowControl w:val="0"/>
      <w:ind w:left="1050"/>
      <w:jc w:val="left"/>
    </w:pPr>
    <w:rPr>
      <w:rFonts w:ascii="Calibri" w:hAnsi="Calibri" w:eastAsia="宋体" w:cs="Times New Roman"/>
      <w:kern w:val="2"/>
      <w:sz w:val="18"/>
      <w:szCs w:val="18"/>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2023-08-22T06:53:00Z</dcterms:created>
  <dc:creator>萌萌哒</dc:creator>
  <cp:lastModifiedBy>qianjin</cp:lastModifiedBy>
  <cp:lastPrinted>2023-09-01T03:44:00Z</cp:lastPrinted>
  <dcterms:modified xsi:type="dcterms:W3CDTF">2023-10-27T02:51:40Z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6F466B0CBEA0447F94BADE4542984BA1_13</vt:lpwstr>
  </property>
</Properties>
</file>