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马鞍山市和县农贸市场建设项目——石杨农贸市场综合体工程</w:t>
      </w:r>
    </w:p>
    <w:p>
      <w:pPr>
        <w:jc w:val="center"/>
        <w:rPr>
          <w:sz w:val="32"/>
          <w:szCs w:val="32"/>
        </w:rPr>
      </w:pPr>
      <w:r>
        <w:rPr>
          <w:rFonts w:hint="eastAsia"/>
          <w:sz w:val="32"/>
          <w:szCs w:val="32"/>
          <w:lang w:val="en-US" w:eastAsia="zh-CN"/>
        </w:rPr>
        <w:t>（一期）监理</w:t>
      </w:r>
      <w:r>
        <w:rPr>
          <w:rFonts w:hint="eastAsia"/>
          <w:sz w:val="32"/>
          <w:szCs w:val="32"/>
        </w:rPr>
        <w:t>公开</w:t>
      </w:r>
      <w:r>
        <w:rPr>
          <w:rFonts w:hint="eastAsia"/>
          <w:sz w:val="32"/>
          <w:szCs w:val="32"/>
          <w:lang w:val="en-US" w:eastAsia="zh-CN"/>
        </w:rPr>
        <w:t>比选</w:t>
      </w:r>
      <w:r>
        <w:rPr>
          <w:rFonts w:hint="eastAsia"/>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ZY-2023-003</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马鞍山市和县农贸市场建设项目——石杨农贸市场综合体工程（一期）监理</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20</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3.投标人资质要求：投标人须具备住建部门颁发的房屋建筑工程专业乙级及以上监理资质或工程监理综合资质；</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4.总监理工程师要求：具备房屋建筑工程专业国家注册监理工程师执业资格；</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5.投标人业绩要求：自2018年1月1日以来（以竣工验收时间为准），投标人在中华人民共和国境内（不含港澳台）须具备公共建筑工程监理业绩，且须满足下列条件之一：（1）单个合同工程总投资额不少于1500万元；（2）单个合同中公共建筑总建筑面积不少于4000平方米。  注：公共建筑系指办公建筑、商业建筑、旅游建筑、科教文卫建筑、通信建筑、交通运输类建筑，工业厂房、住宅除外；</w:t>
      </w:r>
    </w:p>
    <w:p>
      <w:pPr>
        <w:numPr>
          <w:ilvl w:val="0"/>
          <w:numId w:val="0"/>
        </w:numPr>
        <w:ind w:firstLine="560" w:firstLineChars="200"/>
        <w:jc w:val="left"/>
        <w:rPr>
          <w:color w:val="FF0000"/>
          <w:sz w:val="28"/>
          <w:szCs w:val="28"/>
        </w:rPr>
      </w:pPr>
      <w:r>
        <w:rPr>
          <w:rFonts w:hint="eastAsia"/>
          <w:sz w:val="28"/>
          <w:szCs w:val="28"/>
          <w:lang w:val="en-US" w:eastAsia="zh-CN"/>
        </w:rPr>
        <w:t>6.总监理工程师业绩要求：/；</w:t>
      </w:r>
      <w:r>
        <w:rPr>
          <w:rFonts w:hint="eastAsia" w:ascii="宋体" w:hAnsi="宋体" w:eastAsia="宋体" w:cs="宋体"/>
          <w:color w:val="FF0000"/>
          <w:kern w:val="0"/>
          <w:szCs w:val="21"/>
        </w:rPr>
        <w:t> </w:t>
      </w:r>
    </w:p>
    <w:p>
      <w:pPr>
        <w:numPr>
          <w:ilvl w:val="0"/>
          <w:numId w:val="0"/>
        </w:numPr>
        <w:ind w:firstLine="560" w:firstLineChars="200"/>
        <w:jc w:val="left"/>
        <w:rPr>
          <w:sz w:val="28"/>
          <w:szCs w:val="28"/>
        </w:rPr>
      </w:pPr>
      <w:r>
        <w:rPr>
          <w:rFonts w:hint="eastAsia"/>
          <w:sz w:val="28"/>
          <w:szCs w:val="28"/>
          <w:lang w:val="en-US" w:eastAsia="zh-CN"/>
        </w:rPr>
        <w:t>7.</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val="en-US" w:eastAsia="zh-CN"/>
        </w:rPr>
        <w:t>15</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四</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val="en-US" w:eastAsia="zh-CN"/>
        </w:rPr>
        <w:t>15</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供应商提交的响应文件：响应文件正本1份，副本5份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rPr>
        <w:t>四、开启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11</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val="en-US" w:eastAsia="zh-CN"/>
        </w:rPr>
        <w:t>15</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五</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六</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和县和州置业</w:t>
      </w:r>
      <w:r>
        <w:rPr>
          <w:rFonts w:hint="eastAsia"/>
          <w:sz w:val="28"/>
          <w:szCs w:val="28"/>
        </w:rPr>
        <w:t>有限</w:t>
      </w:r>
      <w:r>
        <w:rPr>
          <w:rFonts w:hint="eastAsia"/>
          <w:sz w:val="28"/>
          <w:szCs w:val="28"/>
          <w:lang w:val="en-US" w:eastAsia="zh-CN"/>
        </w:rPr>
        <w:t>责任</w:t>
      </w:r>
      <w:r>
        <w:rPr>
          <w:rFonts w:hint="eastAsia"/>
          <w:sz w:val="28"/>
          <w:szCs w:val="28"/>
        </w:rPr>
        <w:t xml:space="preserve">公司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eastAsia"/>
          <w:sz w:val="28"/>
          <w:szCs w:val="28"/>
        </w:rPr>
      </w:pPr>
      <w:r>
        <w:rPr>
          <w:rFonts w:hint="eastAsia"/>
          <w:sz w:val="28"/>
          <w:szCs w:val="28"/>
        </w:rPr>
        <w:t>电话</w:t>
      </w:r>
      <w:r>
        <w:rPr>
          <w:rFonts w:hint="eastAsia"/>
          <w:sz w:val="28"/>
          <w:szCs w:val="28"/>
          <w:lang w:eastAsia="zh-CN"/>
        </w:rPr>
        <w:t>：</w:t>
      </w:r>
      <w:r>
        <w:rPr>
          <w:rFonts w:hint="eastAsia"/>
          <w:sz w:val="28"/>
          <w:szCs w:val="28"/>
          <w:lang w:val="en-US" w:eastAsia="zh-CN"/>
        </w:rPr>
        <w:t>15850675305    18271399953</w:t>
      </w:r>
      <w:r>
        <w:rPr>
          <w:rFonts w:hint="eastAsia"/>
          <w:sz w:val="28"/>
          <w:szCs w:val="28"/>
        </w:rPr>
        <w:t xml:space="preserve">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附件</w:t>
      </w:r>
      <w:r>
        <w:rPr>
          <w:rFonts w:hint="eastAsia"/>
          <w:sz w:val="28"/>
          <w:szCs w:val="28"/>
          <w:lang w:val="en-US" w:eastAsia="zh-CN"/>
        </w:rPr>
        <w:t>1</w:t>
      </w:r>
      <w:r>
        <w:rPr>
          <w:rFonts w:hint="eastAsia"/>
          <w:sz w:val="28"/>
          <w:szCs w:val="28"/>
        </w:rPr>
        <w:t>：</w:t>
      </w:r>
    </w:p>
    <w:p>
      <w:pPr>
        <w:jc w:val="center"/>
        <w:rPr>
          <w:b/>
          <w:bCs/>
          <w:sz w:val="44"/>
          <w:szCs w:val="44"/>
        </w:rPr>
      </w:pPr>
      <w:r>
        <w:rPr>
          <w:rFonts w:hint="eastAsia"/>
          <w:b/>
          <w:bCs/>
          <w:sz w:val="44"/>
          <w:szCs w:val="44"/>
        </w:rPr>
        <w:t>报价单</w:t>
      </w:r>
    </w:p>
    <w:tbl>
      <w:tblPr>
        <w:tblStyle w:val="7"/>
        <w:tblpPr w:leftFromText="180" w:rightFromText="180" w:vertAnchor="text" w:horzAnchor="page" w:tblpXSpec="center" w:tblpY="4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327" w:type="dxa"/>
            <w:vAlign w:val="center"/>
          </w:tcPr>
          <w:p>
            <w:pPr>
              <w:jc w:val="center"/>
              <w:rPr>
                <w:sz w:val="28"/>
                <w:szCs w:val="28"/>
              </w:rPr>
            </w:pPr>
            <w:r>
              <w:rPr>
                <w:rFonts w:hint="eastAsia"/>
                <w:sz w:val="28"/>
                <w:szCs w:val="28"/>
                <w:lang w:val="en-US" w:eastAsia="zh-CN"/>
              </w:rPr>
              <w:t>马鞍山市和县农贸市场建设项目——石杨农贸市场综合体工程（一期）监理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327"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327"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马鞍山市和县农贸市场建设项目——石杨农贸市场综合体工程（一期）监理</w:t>
      </w:r>
      <w:r>
        <w:rPr>
          <w:rFonts w:hint="eastAsia"/>
          <w:sz w:val="28"/>
          <w:szCs w:val="28"/>
        </w:rPr>
        <w:t>的供应商，我单位将承诺会按照公告的要求如期提供</w:t>
      </w:r>
      <w:r>
        <w:rPr>
          <w:rFonts w:hint="eastAsia"/>
          <w:sz w:val="28"/>
          <w:szCs w:val="28"/>
          <w:lang w:val="en-US" w:eastAsia="zh-CN"/>
        </w:rPr>
        <w:t>监理。</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eastAsia" w:ascii="仿宋_GB2312" w:hAnsi="仿宋_GB2312" w:eastAsia="仿宋_GB2312" w:cs="仿宋_GB2312"/>
          <w:b w:val="0"/>
          <w:bCs w:val="0"/>
          <w:color w:val="000000"/>
          <w:kern w:val="2"/>
          <w:sz w:val="32"/>
          <w:szCs w:val="32"/>
          <w:highlight w:val="none"/>
          <w:u w:val="none"/>
          <w:lang w:val="en-US" w:eastAsia="zh-CN" w:bidi="zh-CN"/>
        </w:rPr>
      </w:pPr>
    </w:p>
    <w:p>
      <w:pPr>
        <w:jc w:val="both"/>
        <w:rPr>
          <w:rFonts w:hint="default"/>
          <w:lang w:val="en-US" w:eastAsia="zh-CN"/>
        </w:rPr>
      </w:pPr>
      <w:r>
        <w:rPr>
          <w:rFonts w:hint="eastAsia" w:ascii="仿宋_GB2312" w:hAnsi="仿宋_GB2312" w:eastAsia="仿宋_GB2312" w:cs="仿宋_GB2312"/>
          <w:b w:val="0"/>
          <w:bCs w:val="0"/>
          <w:color w:val="000000"/>
          <w:kern w:val="2"/>
          <w:sz w:val="32"/>
          <w:szCs w:val="32"/>
          <w:highlight w:val="none"/>
          <w:u w:val="none"/>
          <w:lang w:val="en-US" w:eastAsia="zh-CN" w:bidi="zh-CN"/>
        </w:rPr>
        <w:t xml:space="preserve">附件2 </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马鞍山市和县农贸市场建设项目——石杨农贸市场综合体工程（一期）监理评分细则</w:t>
      </w:r>
    </w:p>
    <w:tbl>
      <w:tblPr>
        <w:tblStyle w:val="6"/>
        <w:tblW w:w="9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55"/>
        <w:gridCol w:w="675"/>
        <w:gridCol w:w="7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115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评分</w:t>
            </w:r>
          </w:p>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内容</w:t>
            </w:r>
          </w:p>
        </w:tc>
        <w:tc>
          <w:tcPr>
            <w:tcW w:w="67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分值</w:t>
            </w:r>
          </w:p>
        </w:tc>
        <w:tc>
          <w:tcPr>
            <w:tcW w:w="7166"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rPr>
            </w:pPr>
            <w:r>
              <w:rPr>
                <w:rFonts w:hint="eastAsia" w:ascii="仿宋_GB2312" w:hAnsi="仿宋_GB2312" w:eastAsia="仿宋_GB2312" w:cs="仿宋_GB2312"/>
                <w:snapToGrid w:val="0"/>
                <w:color w:val="000000"/>
                <w:kern w:val="0"/>
                <w:sz w:val="21"/>
                <w:szCs w:val="21"/>
                <w:highlight w:val="none"/>
                <w:lang w:val="en-US" w:eastAsia="zh-CN"/>
              </w:rPr>
              <w:t>拟配备的项目总监</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10</w:t>
            </w:r>
          </w:p>
        </w:tc>
        <w:tc>
          <w:tcPr>
            <w:tcW w:w="7166" w:type="dxa"/>
            <w:noWrap w:val="0"/>
            <w:vAlign w:val="center"/>
          </w:tcPr>
          <w:p>
            <w:pPr>
              <w:adjustRightInd w:val="0"/>
              <w:snapToGrid w:val="0"/>
              <w:spacing w:line="360" w:lineRule="exact"/>
              <w:jc w:val="lef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结合总监业绩和对本项目的监理内容整体思路进行10分钟面试考核，由评标委员会进行综合打分，取所有评委打分的平均分为最后得分。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2</w:t>
            </w:r>
          </w:p>
        </w:tc>
        <w:tc>
          <w:tcPr>
            <w:tcW w:w="1155"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lang w:val="en-US" w:eastAsia="zh-CN"/>
              </w:rPr>
              <w:t>服务方案</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40</w:t>
            </w:r>
          </w:p>
        </w:tc>
        <w:tc>
          <w:tcPr>
            <w:tcW w:w="7166" w:type="dxa"/>
            <w:noWrap w:val="0"/>
            <w:vAlign w:val="center"/>
          </w:tcPr>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1、综合比较投标人监理服务方案中对监理内容整体分析：</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（1）监理大纲内容全面、重点突出、制度健全、措施详细得当的，得4分；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（2）监理大纲内容、重点、制度、措施贴合本项目的，得3分；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（3）监理大纲内容、重点、制度、措施有待完善的，得1分；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2、综合比较投标人监理服务方案中对质量控制措施：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（1）质量控制措施全面、针对性强的，得4分；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（2）质量控制措施、针对性贴合本项目的，得3分；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（3）质量控制措施有待完善的，得1分；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3、综合比较投标人监理服务方案中对进度控制措施：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（1）进度控制措施全面、针对性强的，得4分；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（2）进度控制措施、针对性贴合本项目的，得3分；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（3）进度控制措施有待完善的，得1分；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4、综合比较投标人监理服务方案中对投资及变更控制措施：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（1）投资及变更控制措施全面、针对性强的，得4分；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（2）投资及变更控制措施、针对性贴合本项目的，得3分；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（3）投资及变更控制措施有待完善的，得1分；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5、综合比较投标人监理服务方案中对文明施工、安全生产的控制措施：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（1）文明施工、安全生产的控制措施全面、针对性强的，得4分；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（2）文明施工、安全生产的控制措施、针对性贴合本项目的，得3分；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（3）文明施工、安全生产的控制措施有待完善的，得1分；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6、综合比较投标人监理服务方案中对现场组织协调内容：</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（1）内容全面、方法得当、措施详细得当的，得4分；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（2）内容、方法、措施贴合本项目的，得3分；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（3）内容、方法、措施有待完善的，得1分；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7、综合比较投标人监理服务方案中对合同与信息管理内容：</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（1）内容全面、方法得当、措施详细得当的，得4分；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（2）内容、方法、措施贴合本项目的，得3分；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（3）内容、方法、措施有待完善的，得1分；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8、综合比较投标人监理服务方案中对关键工序控制措施：</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（1）措施全面、针对性强的，得4分；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（2）措施、针对性贴合本项目的，得3分；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（3）措施有待完善的，得1分；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9、综合比较投标人监理服务方案中对监理重点、难点的处理措施及建议：</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（1）针对本工程的重点、难点的处理措施及合理化建议全面、针对性强的，得4分；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（2）针对本工程的重点、难点的处理措施及合理化建议贴合本项目的，得3分；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（3）针对本工程的重点、难点的处理措施及合理化建议有待完善的，得1分；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10、综合比较投标人监理服务方案中对工程设计图纸及工程项目特点提出合理化建议：</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（1）合理化建议全面、针对性强的，得4分；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（2）合理化建议贴合本项目的，得3分；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（3）建议有待完善的，得1分；</w:t>
            </w:r>
          </w:p>
          <w:p>
            <w:pPr>
              <w:pStyle w:val="9"/>
              <w:spacing w:line="360" w:lineRule="exact"/>
              <w:ind w:left="0"/>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（4）未提供或不符合要求不得分。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3</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业绩</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20</w:t>
            </w:r>
          </w:p>
        </w:tc>
        <w:tc>
          <w:tcPr>
            <w:tcW w:w="7166" w:type="dxa"/>
            <w:noWrap w:val="0"/>
            <w:vAlign w:val="center"/>
          </w:tcPr>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自2020年</w:t>
            </w:r>
            <w:r>
              <w:rPr>
                <w:rFonts w:hint="eastAsia" w:ascii="仿宋_GB2312" w:hAnsi="仿宋_GB2312" w:eastAsia="仿宋_GB2312" w:cs="仿宋_GB2312"/>
                <w:snapToGrid w:val="0"/>
                <w:color w:val="000000"/>
                <w:kern w:val="0"/>
                <w:sz w:val="21"/>
                <w:szCs w:val="21"/>
                <w:highlight w:val="none"/>
                <w:lang w:val="en-US" w:eastAsia="zh-CN"/>
              </w:rPr>
              <w:t>7</w:t>
            </w:r>
            <w:r>
              <w:rPr>
                <w:rFonts w:hint="eastAsia" w:ascii="仿宋_GB2312" w:hAnsi="仿宋_GB2312" w:eastAsia="仿宋_GB2312" w:cs="仿宋_GB2312"/>
                <w:snapToGrid w:val="0"/>
                <w:color w:val="000000"/>
                <w:kern w:val="0"/>
                <w:sz w:val="21"/>
                <w:szCs w:val="21"/>
                <w:highlight w:val="none"/>
                <w:lang w:eastAsia="zh-CN"/>
              </w:rPr>
              <w:t>月1日以来（以合同签订时间为准），供应商具有以下业绩：</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1.</w:t>
            </w:r>
            <w:r>
              <w:rPr>
                <w:rFonts w:hint="eastAsia" w:ascii="仿宋_GB2312" w:hAnsi="仿宋_GB2312" w:eastAsia="仿宋_GB2312" w:cs="仿宋_GB2312"/>
                <w:snapToGrid w:val="0"/>
                <w:color w:val="000000"/>
                <w:kern w:val="0"/>
                <w:sz w:val="21"/>
                <w:szCs w:val="21"/>
                <w:highlight w:val="none"/>
                <w:lang w:val="en-US" w:eastAsia="zh-CN"/>
              </w:rPr>
              <w:t>每提供1个</w:t>
            </w:r>
            <w:r>
              <w:rPr>
                <w:rFonts w:hint="eastAsia" w:ascii="仿宋_GB2312" w:hAnsi="仿宋_GB2312" w:eastAsia="仿宋_GB2312" w:cs="仿宋_GB2312"/>
                <w:snapToGrid w:val="0"/>
                <w:color w:val="000000"/>
                <w:kern w:val="0"/>
                <w:sz w:val="21"/>
                <w:szCs w:val="21"/>
                <w:highlight w:val="none"/>
                <w:lang w:eastAsia="zh-CN"/>
              </w:rPr>
              <w:t>同类型项目</w:t>
            </w:r>
            <w:r>
              <w:rPr>
                <w:rFonts w:hint="eastAsia" w:ascii="仿宋_GB2312" w:hAnsi="仿宋_GB2312" w:eastAsia="仿宋_GB2312" w:cs="仿宋_GB2312"/>
                <w:snapToGrid w:val="0"/>
                <w:color w:val="000000"/>
                <w:kern w:val="0"/>
                <w:sz w:val="21"/>
                <w:szCs w:val="21"/>
                <w:highlight w:val="none"/>
                <w:lang w:val="en-US" w:eastAsia="zh-CN"/>
              </w:rPr>
              <w:t>监理的</w:t>
            </w:r>
            <w:r>
              <w:rPr>
                <w:rFonts w:hint="eastAsia" w:ascii="仿宋_GB2312" w:hAnsi="仿宋_GB2312" w:eastAsia="仿宋_GB2312" w:cs="仿宋_GB2312"/>
                <w:snapToGrid w:val="0"/>
                <w:color w:val="000000"/>
                <w:kern w:val="0"/>
                <w:sz w:val="21"/>
                <w:szCs w:val="21"/>
                <w:highlight w:val="none"/>
                <w:lang w:eastAsia="zh-CN"/>
              </w:rPr>
              <w:t>得5分；本小项满分</w:t>
            </w:r>
            <w:r>
              <w:rPr>
                <w:rFonts w:hint="eastAsia" w:ascii="仿宋_GB2312" w:hAnsi="仿宋_GB2312" w:eastAsia="仿宋_GB2312" w:cs="仿宋_GB2312"/>
                <w:snapToGrid w:val="0"/>
                <w:color w:val="000000"/>
                <w:kern w:val="0"/>
                <w:sz w:val="21"/>
                <w:szCs w:val="21"/>
                <w:highlight w:val="none"/>
                <w:lang w:val="en-US" w:eastAsia="zh-CN"/>
              </w:rPr>
              <w:t>2</w:t>
            </w:r>
            <w:r>
              <w:rPr>
                <w:rFonts w:hint="eastAsia" w:ascii="仿宋_GB2312" w:hAnsi="仿宋_GB2312" w:eastAsia="仿宋_GB2312" w:cs="仿宋_GB2312"/>
                <w:snapToGrid w:val="0"/>
                <w:color w:val="000000"/>
                <w:kern w:val="0"/>
                <w:sz w:val="21"/>
                <w:szCs w:val="21"/>
                <w:highlight w:val="none"/>
                <w:lang w:eastAsia="zh-CN"/>
              </w:rPr>
              <w:t>0分。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注：业绩须同时满足以下条件方可计分：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（1）业绩为2020年</w:t>
            </w:r>
            <w:r>
              <w:rPr>
                <w:rFonts w:hint="eastAsia" w:ascii="仿宋_GB2312" w:hAnsi="仿宋_GB2312" w:eastAsia="仿宋_GB2312" w:cs="仿宋_GB2312"/>
                <w:snapToGrid w:val="0"/>
                <w:color w:val="000000"/>
                <w:kern w:val="0"/>
                <w:sz w:val="21"/>
                <w:szCs w:val="21"/>
                <w:highlight w:val="none"/>
                <w:lang w:val="en-US" w:eastAsia="zh-CN"/>
              </w:rPr>
              <w:t>7</w:t>
            </w:r>
            <w:r>
              <w:rPr>
                <w:rFonts w:hint="eastAsia" w:ascii="仿宋_GB2312" w:hAnsi="仿宋_GB2312" w:eastAsia="仿宋_GB2312" w:cs="仿宋_GB2312"/>
                <w:snapToGrid w:val="0"/>
                <w:color w:val="000000"/>
                <w:kern w:val="0"/>
                <w:sz w:val="21"/>
                <w:szCs w:val="21"/>
                <w:highlight w:val="none"/>
                <w:lang w:eastAsia="zh-CN"/>
              </w:rPr>
              <w:t>月1日以来（以合同签订时间为准，未体现合同签订时间的不予计分）的业绩。</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eastAsia="zh-CN"/>
              </w:rPr>
              <w:t>（2）须提供合同复印件或扫描件（包括但不限于合同首页、合同标的页、合同签章页）作为证明材料，否则不予计分。</w:t>
            </w:r>
          </w:p>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lang w:eastAsia="zh-CN"/>
              </w:rPr>
              <w:t>（3）若合同中无法体现相关内容的，文件中另须提供合同甲方出具的证明材料复印件，合同甲方证明材料的出具单位所盖公章名称必须与合同甲方名称一致，否则不予计分。相关证明材料格式自拟。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4" w:type="dxa"/>
            <w:noWrap w:val="0"/>
            <w:vAlign w:val="center"/>
          </w:tcPr>
          <w:p>
            <w:pPr>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napToGrid w:val="0"/>
                <w:color w:val="000000"/>
                <w:kern w:val="0"/>
                <w:sz w:val="21"/>
                <w:szCs w:val="21"/>
                <w:highlight w:val="none"/>
                <w:lang w:val="en-US" w:eastAsia="zh-CN"/>
              </w:rPr>
              <w:t>4</w:t>
            </w:r>
          </w:p>
        </w:tc>
        <w:tc>
          <w:tcPr>
            <w:tcW w:w="115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投标报价</w:t>
            </w:r>
          </w:p>
        </w:tc>
        <w:tc>
          <w:tcPr>
            <w:tcW w:w="675" w:type="dxa"/>
            <w:noWrap w:val="0"/>
            <w:vAlign w:val="center"/>
          </w:tcPr>
          <w:p>
            <w:pPr>
              <w:adjustRightInd w:val="0"/>
              <w:snapToGrid w:val="0"/>
              <w:spacing w:line="360" w:lineRule="exact"/>
              <w:jc w:val="center"/>
              <w:textAlignment w:val="baseline"/>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30</w:t>
            </w:r>
          </w:p>
        </w:tc>
        <w:tc>
          <w:tcPr>
            <w:tcW w:w="7166" w:type="dxa"/>
            <w:noWrap w:val="0"/>
            <w:vAlign w:val="center"/>
          </w:tcPr>
          <w:p>
            <w:pPr>
              <w:adjustRightInd w:val="0"/>
              <w:snapToGrid w:val="0"/>
              <w:spacing w:line="360" w:lineRule="exact"/>
              <w:textAlignment w:val="baseline"/>
              <w:rPr>
                <w:rFonts w:hint="eastAsia" w:ascii="仿宋_GB2312" w:hAnsi="仿宋_GB2312" w:eastAsia="仿宋_GB2312" w:cs="仿宋_GB2312"/>
                <w:snapToGrid w:val="0"/>
                <w:color w:val="000000"/>
                <w:kern w:val="0"/>
                <w:sz w:val="21"/>
                <w:szCs w:val="21"/>
                <w:highlight w:val="none"/>
              </w:rPr>
            </w:pPr>
            <w:r>
              <w:rPr>
                <w:rFonts w:hint="eastAsia" w:ascii="仿宋_GB2312" w:hAnsi="仿宋_GB2312" w:eastAsia="仿宋_GB2312" w:cs="仿宋_GB2312"/>
                <w:snapToGrid w:val="0"/>
                <w:color w:val="000000"/>
                <w:kern w:val="0"/>
                <w:sz w:val="21"/>
                <w:szCs w:val="21"/>
                <w:highlight w:val="none"/>
              </w:rPr>
              <w:t>通过资格评审及符合性评审的投标人算出平均价，其投标报价等于平均价的得满分30分，投标报价每高于平均价1%的，扣0.2分，投标报价每低于平均价1%的，扣0.1分。其他投标人的报价得分统一按照下列公式计算：当投标报价高于平均价时，投标报价得分=50-{(投标报价-平均价)／平均价)}×100×0.2；当投标报价低于平均价时，投标报价得分=50-{(平均价-投标报价)／平均价)}×100×0.1；当得分小于0分，均按0分计算。(小数点超过两位的均保留两位小数，小数点后第三位四舍五入)</w:t>
            </w:r>
          </w:p>
        </w:tc>
      </w:tr>
    </w:tbl>
    <w:p>
      <w:pPr>
        <w:rPr>
          <w:rFonts w:hint="eastAsia"/>
          <w:sz w:val="28"/>
          <w:szCs w:val="28"/>
          <w:lang w:val="en-US" w:eastAsia="zh-CN"/>
        </w:rPr>
      </w:pPr>
      <w:r>
        <w:rPr>
          <w:rFonts w:hint="eastAsia"/>
          <w:sz w:val="28"/>
          <w:szCs w:val="28"/>
          <w:lang w:val="en-US" w:eastAsia="zh-CN"/>
        </w:rPr>
        <w:t>注：</w:t>
      </w:r>
    </w:p>
    <w:p>
      <w:pPr>
        <w:ind w:firstLine="560" w:firstLineChars="200"/>
        <w:rPr>
          <w:rFonts w:hint="default"/>
          <w:sz w:val="28"/>
          <w:szCs w:val="28"/>
          <w:lang w:val="en-US" w:eastAsia="zh-CN"/>
        </w:rPr>
      </w:pPr>
      <w:r>
        <w:rPr>
          <w:rFonts w:hint="eastAsia"/>
          <w:sz w:val="28"/>
          <w:szCs w:val="28"/>
          <w:lang w:val="en-US" w:eastAsia="zh-CN"/>
        </w:rPr>
        <w:t>1、评审事宜：</w:t>
      </w:r>
    </w:p>
    <w:p>
      <w:pPr>
        <w:ind w:firstLine="560" w:firstLineChars="200"/>
        <w:rPr>
          <w:rFonts w:hint="eastAsia"/>
          <w:sz w:val="28"/>
          <w:szCs w:val="28"/>
          <w:lang w:val="en-US" w:eastAsia="zh-CN"/>
        </w:rPr>
      </w:pPr>
      <w:r>
        <w:rPr>
          <w:rFonts w:hint="eastAsia"/>
          <w:sz w:val="28"/>
          <w:szCs w:val="28"/>
          <w:lang w:val="en-US" w:eastAsia="zh-CN"/>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lang w:val="en-US" w:eastAsia="zh-CN"/>
        </w:rPr>
        <w:t>（2）</w:t>
      </w:r>
      <w:r>
        <w:rPr>
          <w:rFonts w:hint="eastAsia"/>
          <w:sz w:val="28"/>
          <w:szCs w:val="28"/>
        </w:rPr>
        <w:t>在评审过程中，评</w:t>
      </w:r>
      <w:r>
        <w:rPr>
          <w:rFonts w:hint="eastAsia"/>
          <w:sz w:val="28"/>
          <w:szCs w:val="28"/>
          <w:lang w:val="en-US" w:eastAsia="zh-CN"/>
        </w:rPr>
        <w:t>审委员</w:t>
      </w:r>
      <w:r>
        <w:rPr>
          <w:rFonts w:hint="eastAsia"/>
          <w:sz w:val="28"/>
          <w:szCs w:val="28"/>
        </w:rPr>
        <w:t>发现投标人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lang w:val="en-US" w:eastAsia="zh-CN"/>
        </w:rPr>
        <w:t>（3）供应商的</w:t>
      </w:r>
      <w:r>
        <w:rPr>
          <w:rFonts w:hint="eastAsia"/>
          <w:sz w:val="28"/>
          <w:szCs w:val="28"/>
        </w:rPr>
        <w:t>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 xml:space="preserve">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 xml:space="preserve">响应文件中提供的证明材料（文字、图片）须保证真实有效，如发现与事实不符，采购人有权取消成交供应商资格。 </w:t>
      </w:r>
    </w:p>
    <w:p>
      <w:pPr>
        <w:ind w:firstLine="560" w:firstLineChars="200"/>
        <w:rPr>
          <w:rFonts w:hint="default" w:eastAsiaTheme="minorEastAsia"/>
          <w:lang w:val="en-US" w:eastAsia="zh-CN"/>
        </w:rPr>
      </w:pPr>
      <w:r>
        <w:rPr>
          <w:rFonts w:hint="eastAsia"/>
          <w:sz w:val="28"/>
          <w:szCs w:val="28"/>
          <w:lang w:val="en-US" w:eastAsia="zh-CN"/>
        </w:rPr>
        <w:t>2、其它补充事宜：</w:t>
      </w:r>
    </w:p>
    <w:p>
      <w:pPr>
        <w:ind w:firstLine="560" w:firstLineChars="200"/>
        <w:rPr>
          <w:rFonts w:hint="eastAsia"/>
          <w:sz w:val="28"/>
          <w:szCs w:val="28"/>
          <w:lang w:val="en-US" w:eastAsia="zh-CN"/>
        </w:rPr>
      </w:pPr>
      <w:r>
        <w:rPr>
          <w:rFonts w:hint="eastAsia"/>
          <w:sz w:val="28"/>
          <w:szCs w:val="28"/>
          <w:lang w:val="en-US" w:eastAsia="zh-CN"/>
        </w:rPr>
        <w:t>（1）本项目不收投标保证金；</w:t>
      </w:r>
    </w:p>
    <w:p>
      <w:pPr>
        <w:ind w:firstLine="560" w:firstLineChars="200"/>
        <w:rPr>
          <w:rFonts w:hint="eastAsia"/>
          <w:sz w:val="28"/>
          <w:szCs w:val="28"/>
          <w:lang w:val="en-US" w:eastAsia="zh-CN"/>
        </w:rPr>
      </w:pPr>
      <w:r>
        <w:rPr>
          <w:rFonts w:hint="eastAsia"/>
          <w:sz w:val="28"/>
          <w:szCs w:val="28"/>
          <w:lang w:val="en-US" w:eastAsia="zh-CN"/>
        </w:rPr>
        <w:t>（2）履约保证金按照签约合同价的5%收取；</w:t>
      </w:r>
    </w:p>
    <w:p>
      <w:pPr>
        <w:ind w:firstLine="560" w:firstLineChars="200"/>
        <w:rPr>
          <w:rFonts w:hint="eastAsia"/>
          <w:sz w:val="28"/>
          <w:szCs w:val="28"/>
          <w:lang w:val="en-US" w:eastAsia="zh-CN"/>
        </w:rPr>
      </w:pPr>
      <w:r>
        <w:rPr>
          <w:rFonts w:hint="eastAsia"/>
          <w:sz w:val="28"/>
          <w:szCs w:val="28"/>
          <w:lang w:val="en-US" w:eastAsia="zh-CN"/>
        </w:rPr>
        <w:t>（3）</w:t>
      </w:r>
      <w:r>
        <w:rPr>
          <w:rFonts w:hint="eastAsia"/>
          <w:sz w:val="28"/>
          <w:szCs w:val="28"/>
        </w:rPr>
        <w:t>通过资格性审查的供应商不足3家的</w:t>
      </w:r>
      <w:r>
        <w:rPr>
          <w:rFonts w:hint="eastAsia"/>
          <w:sz w:val="28"/>
          <w:szCs w:val="28"/>
          <w:lang w:eastAsia="zh-CN"/>
        </w:rPr>
        <w:t>，</w:t>
      </w:r>
      <w:r>
        <w:rPr>
          <w:rFonts w:hint="eastAsia"/>
          <w:sz w:val="28"/>
          <w:szCs w:val="28"/>
          <w:lang w:val="en-US" w:eastAsia="zh-CN"/>
        </w:rPr>
        <w:t>将终止采购活动。</w:t>
      </w:r>
      <w:bookmarkStart w:id="0" w:name="_GoBack"/>
      <w:bookmarkEnd w:id="0"/>
    </w:p>
    <w:p>
      <w:pPr>
        <w:ind w:firstLine="560" w:firstLineChars="200"/>
        <w:rPr>
          <w:rFonts w:hint="eastAsia"/>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5F9346E"/>
    <w:rsid w:val="1ADA2E64"/>
    <w:rsid w:val="1D105997"/>
    <w:rsid w:val="21B21B9E"/>
    <w:rsid w:val="236824BD"/>
    <w:rsid w:val="23A82066"/>
    <w:rsid w:val="25E33671"/>
    <w:rsid w:val="2C9F2ABB"/>
    <w:rsid w:val="2CA94518"/>
    <w:rsid w:val="34096603"/>
    <w:rsid w:val="35571310"/>
    <w:rsid w:val="3E605DE6"/>
    <w:rsid w:val="419D6929"/>
    <w:rsid w:val="44520CA4"/>
    <w:rsid w:val="45095264"/>
    <w:rsid w:val="48062E85"/>
    <w:rsid w:val="4F965EB2"/>
    <w:rsid w:val="536846E4"/>
    <w:rsid w:val="549E27D9"/>
    <w:rsid w:val="591560FE"/>
    <w:rsid w:val="5A161923"/>
    <w:rsid w:val="5FDE09EC"/>
    <w:rsid w:val="65F9346E"/>
    <w:rsid w:val="71DD0D23"/>
    <w:rsid w:val="72CB7713"/>
    <w:rsid w:val="73706F6D"/>
    <w:rsid w:val="74E91C2E"/>
    <w:rsid w:val="7A48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First Indent"/>
    <w:next w:val="4"/>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0"/>
    <w:next w:val="1"/>
    <w:qFormat/>
    <w:uiPriority w:val="0"/>
    <w:pPr>
      <w:widowControl w:val="0"/>
      <w:ind w:left="105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qianjin</cp:lastModifiedBy>
  <cp:lastPrinted>2023-10-27T03:15:00Z</cp:lastPrinted>
  <dcterms:modified xsi:type="dcterms:W3CDTF">2023-10-27T07:22:27Z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65E6260B473A43EDBEE1051F48F7F8FA_13</vt:lpwstr>
  </property>
</Properties>
</file>