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left"/>
        <w:rPr>
          <w:rFonts w:hint="default" w:ascii="宋体" w:hAnsi="宋体" w:eastAsia="宋体"/>
          <w:b/>
          <w:kern w:val="44"/>
          <w:sz w:val="36"/>
          <w:szCs w:val="36"/>
          <w:lang w:val="en-US" w:eastAsia="zh-CN"/>
        </w:rPr>
      </w:pPr>
      <w:r>
        <w:rPr>
          <w:rFonts w:hint="eastAsia" w:ascii="宋体" w:hAnsi="宋体"/>
          <w:b/>
          <w:kern w:val="44"/>
          <w:sz w:val="36"/>
          <w:szCs w:val="36"/>
          <w:lang w:val="en-US" w:eastAsia="zh-CN"/>
        </w:rPr>
        <w:t>附件1：</w:t>
      </w:r>
    </w:p>
    <w:p>
      <w:pPr>
        <w:pStyle w:val="9"/>
        <w:ind w:firstLine="1070" w:firstLineChars="296"/>
        <w:jc w:val="center"/>
        <w:rPr>
          <w:rFonts w:ascii="宋体" w:hAnsi="宋体"/>
          <w:b/>
          <w:kern w:val="44"/>
          <w:sz w:val="36"/>
          <w:szCs w:val="36"/>
        </w:rPr>
      </w:pPr>
      <w:r>
        <w:rPr>
          <w:rFonts w:hint="eastAsia" w:ascii="宋体" w:hAnsi="宋体"/>
          <w:b/>
          <w:kern w:val="44"/>
          <w:sz w:val="36"/>
          <w:szCs w:val="36"/>
        </w:rPr>
        <w:t>评</w:t>
      </w:r>
      <w:r>
        <w:rPr>
          <w:rFonts w:hint="eastAsia" w:ascii="宋体" w:hAnsi="宋体"/>
          <w:b/>
          <w:kern w:val="44"/>
          <w:sz w:val="36"/>
          <w:szCs w:val="36"/>
          <w:lang w:eastAsia="zh-CN"/>
        </w:rPr>
        <w:t>选</w:t>
      </w:r>
      <w:r>
        <w:rPr>
          <w:rFonts w:hint="eastAsia" w:ascii="宋体" w:hAnsi="宋体"/>
          <w:b/>
          <w:kern w:val="44"/>
          <w:sz w:val="36"/>
          <w:szCs w:val="36"/>
        </w:rPr>
        <w:t>办法及规则</w:t>
      </w:r>
    </w:p>
    <w:tbl>
      <w:tblPr>
        <w:tblStyle w:val="7"/>
        <w:tblW w:w="5000" w:type="pct"/>
        <w:tblInd w:w="113" w:type="dxa"/>
        <w:shd w:val="clear" w:color="auto" w:fill="FFFFFF" w:themeFill="background1"/>
        <w:tblLayout w:type="fixed"/>
        <w:tblCellMar>
          <w:top w:w="0" w:type="dxa"/>
          <w:left w:w="108" w:type="dxa"/>
          <w:bottom w:w="0" w:type="dxa"/>
          <w:right w:w="108" w:type="dxa"/>
        </w:tblCellMar>
      </w:tblPr>
      <w:tblGrid>
        <w:gridCol w:w="779"/>
        <w:gridCol w:w="1007"/>
        <w:gridCol w:w="863"/>
        <w:gridCol w:w="5873"/>
      </w:tblGrid>
      <w:tr>
        <w:tblPrEx>
          <w:tblCellMar>
            <w:top w:w="0" w:type="dxa"/>
            <w:left w:w="108" w:type="dxa"/>
            <w:bottom w:w="0" w:type="dxa"/>
            <w:right w:w="108" w:type="dxa"/>
          </w:tblCellMar>
        </w:tblPrEx>
        <w:trPr>
          <w:trHeight w:val="312" w:hRule="atLeast"/>
        </w:trPr>
        <w:tc>
          <w:tcPr>
            <w:tcW w:w="457"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590" w:type="pct"/>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类别</w:t>
            </w:r>
          </w:p>
        </w:tc>
        <w:tc>
          <w:tcPr>
            <w:tcW w:w="506" w:type="pct"/>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分值</w:t>
            </w:r>
          </w:p>
        </w:tc>
        <w:tc>
          <w:tcPr>
            <w:tcW w:w="3445" w:type="pct"/>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评分标准</w:t>
            </w:r>
          </w:p>
        </w:tc>
      </w:tr>
      <w:tr>
        <w:tblPrEx>
          <w:tblCellMar>
            <w:top w:w="0" w:type="dxa"/>
            <w:left w:w="108" w:type="dxa"/>
            <w:bottom w:w="0" w:type="dxa"/>
            <w:right w:w="108" w:type="dxa"/>
          </w:tblCellMar>
        </w:tblPrEx>
        <w:trPr>
          <w:trHeight w:val="1359" w:hRule="atLeast"/>
        </w:trPr>
        <w:tc>
          <w:tcPr>
            <w:tcW w:w="457" w:type="pct"/>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590" w:type="pct"/>
            <w:tcBorders>
              <w:top w:val="nil"/>
              <w:left w:val="nil"/>
              <w:bottom w:val="single" w:color="auto" w:sz="4" w:space="0"/>
              <w:right w:val="single" w:color="auto" w:sz="4" w:space="0"/>
            </w:tcBorders>
            <w:shd w:val="clear" w:color="auto" w:fill="FFFFFF" w:themeFill="background1"/>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报价</w:t>
            </w:r>
          </w:p>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部分</w:t>
            </w:r>
          </w:p>
        </w:tc>
        <w:tc>
          <w:tcPr>
            <w:tcW w:w="506" w:type="pct"/>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b w:val="0"/>
                <w:bCs w:val="0"/>
                <w:color w:val="000000"/>
                <w:kern w:val="0"/>
                <w:sz w:val="24"/>
                <w:szCs w:val="24"/>
              </w:rPr>
            </w:pPr>
            <w:r>
              <w:rPr>
                <w:rFonts w:hint="eastAsia" w:ascii="仿宋" w:hAnsi="仿宋" w:eastAsia="仿宋" w:cs="宋体"/>
                <w:b w:val="0"/>
                <w:bCs w:val="0"/>
                <w:color w:val="000000"/>
                <w:kern w:val="0"/>
                <w:sz w:val="24"/>
                <w:szCs w:val="24"/>
              </w:rPr>
              <w:t>30</w:t>
            </w:r>
          </w:p>
        </w:tc>
        <w:tc>
          <w:tcPr>
            <w:tcW w:w="3445" w:type="pct"/>
            <w:tcBorders>
              <w:top w:val="nil"/>
              <w:left w:val="nil"/>
              <w:bottom w:val="single" w:color="auto" w:sz="4" w:space="0"/>
              <w:right w:val="single" w:color="auto" w:sz="4" w:space="0"/>
            </w:tcBorders>
            <w:shd w:val="clear" w:color="auto" w:fill="FFFFFF" w:themeFill="background1"/>
            <w:noWrap w:val="0"/>
            <w:vAlign w:val="center"/>
          </w:tcPr>
          <w:p>
            <w:pPr>
              <w:widowControl/>
              <w:rPr>
                <w:rFonts w:hint="default" w:ascii="仿宋" w:hAnsi="仿宋" w:eastAsia="仿宋" w:cs="宋体"/>
                <w:b w:val="0"/>
                <w:bCs w:val="0"/>
                <w:color w:val="000000"/>
                <w:kern w:val="0"/>
                <w:sz w:val="22"/>
                <w:lang w:val="en-US" w:eastAsia="zh-CN"/>
              </w:rPr>
            </w:pPr>
            <w:r>
              <w:rPr>
                <w:rFonts w:hint="eastAsia" w:ascii="仿宋" w:hAnsi="仿宋" w:eastAsia="仿宋" w:cs="宋体"/>
                <w:b w:val="0"/>
                <w:bCs w:val="0"/>
                <w:color w:val="000000"/>
                <w:kern w:val="0"/>
                <w:sz w:val="22"/>
              </w:rPr>
              <w:t>以通过评审标准的</w:t>
            </w:r>
            <w:r>
              <w:rPr>
                <w:rFonts w:hint="eastAsia" w:ascii="仿宋" w:hAnsi="仿宋" w:eastAsia="仿宋" w:cs="宋体"/>
                <w:b w:val="0"/>
                <w:bCs w:val="0"/>
                <w:color w:val="000000"/>
                <w:kern w:val="0"/>
                <w:sz w:val="22"/>
                <w:lang w:val="en-US" w:eastAsia="zh-CN"/>
              </w:rPr>
              <w:t>供应商</w:t>
            </w:r>
            <w:r>
              <w:rPr>
                <w:rFonts w:hint="eastAsia" w:ascii="仿宋" w:hAnsi="仿宋" w:eastAsia="仿宋" w:cs="宋体"/>
                <w:b w:val="0"/>
                <w:bCs w:val="0"/>
                <w:color w:val="000000"/>
                <w:kern w:val="0"/>
                <w:sz w:val="22"/>
              </w:rPr>
              <w:t>的有效最低</w:t>
            </w:r>
            <w:r>
              <w:rPr>
                <w:rFonts w:hint="eastAsia" w:ascii="仿宋" w:hAnsi="仿宋" w:eastAsia="仿宋" w:cs="宋体"/>
                <w:b w:val="0"/>
                <w:bCs w:val="0"/>
                <w:color w:val="000000"/>
                <w:kern w:val="0"/>
                <w:sz w:val="22"/>
                <w:lang w:val="en-US" w:eastAsia="zh-CN"/>
              </w:rPr>
              <w:t>报价</w:t>
            </w:r>
            <w:r>
              <w:rPr>
                <w:rFonts w:hint="eastAsia" w:ascii="仿宋" w:hAnsi="仿宋" w:eastAsia="仿宋" w:cs="宋体"/>
                <w:b w:val="0"/>
                <w:bCs w:val="0"/>
                <w:color w:val="000000"/>
                <w:kern w:val="0"/>
                <w:sz w:val="22"/>
              </w:rPr>
              <w:t>为评标基准价，满分20分，其余</w:t>
            </w:r>
            <w:r>
              <w:rPr>
                <w:rFonts w:hint="eastAsia" w:ascii="仿宋" w:hAnsi="仿宋" w:eastAsia="仿宋" w:cs="宋体"/>
                <w:b w:val="0"/>
                <w:bCs w:val="0"/>
                <w:color w:val="000000"/>
                <w:kern w:val="0"/>
                <w:sz w:val="22"/>
                <w:lang w:val="en-US" w:eastAsia="zh-CN"/>
              </w:rPr>
              <w:t>供应商</w:t>
            </w:r>
            <w:r>
              <w:rPr>
                <w:rFonts w:hint="eastAsia" w:ascii="仿宋" w:hAnsi="仿宋" w:eastAsia="仿宋" w:cs="宋体"/>
                <w:b w:val="0"/>
                <w:bCs w:val="0"/>
                <w:color w:val="000000"/>
                <w:kern w:val="0"/>
                <w:sz w:val="22"/>
              </w:rPr>
              <w:t>的价格分均按照以下方式计算：价格分=（评标基准价/</w:t>
            </w:r>
            <w:r>
              <w:rPr>
                <w:rFonts w:hint="eastAsia" w:ascii="仿宋" w:hAnsi="仿宋" w:eastAsia="仿宋" w:cs="宋体"/>
                <w:b w:val="0"/>
                <w:bCs w:val="0"/>
                <w:color w:val="000000"/>
                <w:kern w:val="0"/>
                <w:sz w:val="22"/>
                <w:lang w:val="en-US" w:eastAsia="zh-CN"/>
              </w:rPr>
              <w:t>供应商</w:t>
            </w:r>
            <w:r>
              <w:rPr>
                <w:rFonts w:hint="eastAsia" w:ascii="仿宋" w:hAnsi="仿宋" w:eastAsia="仿宋" w:cs="宋体"/>
                <w:b w:val="0"/>
                <w:bCs w:val="0"/>
                <w:color w:val="000000"/>
                <w:kern w:val="0"/>
                <w:sz w:val="22"/>
              </w:rPr>
              <w:t>的总投标价）×</w:t>
            </w:r>
            <w:r>
              <w:rPr>
                <w:rFonts w:hint="eastAsia" w:ascii="仿宋" w:hAnsi="仿宋" w:eastAsia="仿宋" w:cs="宋体"/>
                <w:b w:val="0"/>
                <w:bCs w:val="0"/>
                <w:color w:val="000000"/>
                <w:kern w:val="0"/>
                <w:sz w:val="22"/>
                <w:lang w:val="en-US" w:eastAsia="zh-CN"/>
              </w:rPr>
              <w:t>3</w:t>
            </w:r>
            <w:r>
              <w:rPr>
                <w:rFonts w:hint="eastAsia" w:ascii="仿宋" w:hAnsi="仿宋" w:eastAsia="仿宋" w:cs="宋体"/>
                <w:b w:val="0"/>
                <w:bCs w:val="0"/>
                <w:color w:val="000000"/>
                <w:kern w:val="0"/>
                <w:sz w:val="22"/>
              </w:rPr>
              <w:t>0%×100。（小数点后面保留两位小数，第三位四舍五入）。</w:t>
            </w:r>
          </w:p>
        </w:tc>
      </w:tr>
      <w:tr>
        <w:tblPrEx>
          <w:shd w:val="clear" w:color="auto" w:fill="FFFFFF" w:themeFill="background1"/>
          <w:tblCellMar>
            <w:top w:w="0" w:type="dxa"/>
            <w:left w:w="108" w:type="dxa"/>
            <w:bottom w:w="0" w:type="dxa"/>
            <w:right w:w="108" w:type="dxa"/>
          </w:tblCellMar>
        </w:tblPrEx>
        <w:trPr>
          <w:trHeight w:val="768" w:hRule="atLeast"/>
        </w:trPr>
        <w:tc>
          <w:tcPr>
            <w:tcW w:w="457" w:type="pct"/>
            <w:vMerge w:val="restart"/>
            <w:tcBorders>
              <w:top w:val="nil"/>
              <w:left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590" w:type="pct"/>
            <w:vMerge w:val="restart"/>
            <w:tcBorders>
              <w:top w:val="nil"/>
              <w:left w:val="single" w:color="auto" w:sz="4" w:space="0"/>
              <w:right w:val="single" w:color="auto" w:sz="4" w:space="0"/>
            </w:tcBorders>
            <w:shd w:val="clear" w:color="auto" w:fill="FFFFFF" w:themeFill="background1"/>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相关</w:t>
            </w:r>
          </w:p>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业绩</w:t>
            </w:r>
          </w:p>
        </w:tc>
        <w:tc>
          <w:tcPr>
            <w:tcW w:w="506" w:type="pct"/>
            <w:vMerge w:val="restart"/>
            <w:tcBorders>
              <w:top w:val="nil"/>
              <w:left w:val="single" w:color="auto" w:sz="4" w:space="0"/>
              <w:right w:val="single" w:color="auto" w:sz="4" w:space="0"/>
            </w:tcBorders>
            <w:shd w:val="clear" w:color="auto" w:fill="FFFFFF" w:themeFill="background1"/>
            <w:noWrap/>
            <w:vAlign w:val="center"/>
          </w:tcPr>
          <w:p>
            <w:pPr>
              <w:widowControl/>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25</w:t>
            </w:r>
          </w:p>
        </w:tc>
        <w:tc>
          <w:tcPr>
            <w:tcW w:w="3445" w:type="pct"/>
            <w:tcBorders>
              <w:top w:val="nil"/>
              <w:left w:val="nil"/>
              <w:bottom w:val="single" w:color="auto" w:sz="4" w:space="0"/>
              <w:right w:val="single" w:color="auto" w:sz="4" w:space="0"/>
            </w:tcBorders>
            <w:shd w:val="clear" w:color="auto" w:fill="FFFFFF" w:themeFill="background1"/>
            <w:noWrap w:val="0"/>
            <w:vAlign w:val="center"/>
          </w:tcPr>
          <w:p>
            <w:pPr>
              <w:widowControl/>
              <w:rPr>
                <w:rFonts w:ascii="仿宋" w:hAnsi="仿宋" w:eastAsia="仿宋" w:cs="宋体"/>
                <w:color w:val="000000"/>
                <w:kern w:val="0"/>
                <w:sz w:val="22"/>
              </w:rPr>
            </w:pPr>
            <w:r>
              <w:rPr>
                <w:rFonts w:hint="eastAsia" w:ascii="仿宋" w:hAnsi="仿宋" w:eastAsia="仿宋" w:cs="宋体"/>
                <w:color w:val="000000"/>
                <w:kern w:val="0"/>
                <w:sz w:val="22"/>
              </w:rPr>
              <w:t>具备中小微企业投资尽调风险评估或贷后管理工作经验，提供公司与金融机构或者政府单位开展的相关金融服务项目合同或者协议；每提供一个得5分，本项最高得</w:t>
            </w:r>
            <w:r>
              <w:rPr>
                <w:rFonts w:hint="eastAsia" w:ascii="仿宋" w:hAnsi="仿宋" w:eastAsia="仿宋" w:cs="宋体"/>
                <w:color w:val="000000"/>
                <w:kern w:val="0"/>
                <w:sz w:val="22"/>
                <w:lang w:val="en-US" w:eastAsia="zh-CN"/>
              </w:rPr>
              <w:t>25</w:t>
            </w:r>
            <w:r>
              <w:rPr>
                <w:rFonts w:hint="eastAsia" w:ascii="仿宋" w:hAnsi="仿宋" w:eastAsia="仿宋" w:cs="宋体"/>
                <w:color w:val="000000"/>
                <w:kern w:val="0"/>
                <w:sz w:val="22"/>
              </w:rPr>
              <w:t>分。</w:t>
            </w:r>
          </w:p>
        </w:tc>
      </w:tr>
      <w:tr>
        <w:tblPrEx>
          <w:tblCellMar>
            <w:top w:w="0" w:type="dxa"/>
            <w:left w:w="108" w:type="dxa"/>
            <w:bottom w:w="0" w:type="dxa"/>
            <w:right w:w="108" w:type="dxa"/>
          </w:tblCellMar>
        </w:tblPrEx>
        <w:trPr>
          <w:trHeight w:val="768" w:hRule="atLeast"/>
        </w:trPr>
        <w:tc>
          <w:tcPr>
            <w:tcW w:w="457" w:type="pct"/>
            <w:vMerge w:val="continue"/>
            <w:tcBorders>
              <w:left w:val="single" w:color="auto" w:sz="4" w:space="0"/>
              <w:bottom w:val="single" w:color="auto" w:sz="4" w:space="0"/>
              <w:right w:val="single" w:color="auto" w:sz="4" w:space="0"/>
            </w:tcBorders>
            <w:shd w:val="clear" w:color="auto" w:fill="FFFFFF" w:themeFill="background1"/>
            <w:noWrap/>
            <w:vAlign w:val="center"/>
          </w:tcPr>
          <w:p>
            <w:pPr>
              <w:widowControl/>
              <w:jc w:val="center"/>
              <w:rPr>
                <w:sz w:val="24"/>
                <w:szCs w:val="24"/>
              </w:rPr>
            </w:pPr>
          </w:p>
        </w:tc>
        <w:tc>
          <w:tcPr>
            <w:tcW w:w="590" w:type="pct"/>
            <w:vMerge w:val="continue"/>
            <w:tcBorders>
              <w:left w:val="single" w:color="auto" w:sz="4" w:space="0"/>
              <w:bottom w:val="single" w:color="auto" w:sz="4" w:space="0"/>
              <w:right w:val="single" w:color="auto" w:sz="4" w:space="0"/>
            </w:tcBorders>
            <w:shd w:val="clear" w:color="auto" w:fill="FFFFFF" w:themeFill="background1"/>
            <w:noWrap w:val="0"/>
            <w:vAlign w:val="center"/>
          </w:tcPr>
          <w:p>
            <w:pPr>
              <w:widowControl/>
              <w:jc w:val="center"/>
              <w:rPr>
                <w:sz w:val="24"/>
                <w:szCs w:val="24"/>
              </w:rPr>
            </w:pPr>
          </w:p>
        </w:tc>
        <w:tc>
          <w:tcPr>
            <w:tcW w:w="506" w:type="pct"/>
            <w:vMerge w:val="continue"/>
            <w:tcBorders>
              <w:left w:val="single" w:color="auto" w:sz="4" w:space="0"/>
              <w:bottom w:val="single" w:color="auto" w:sz="4" w:space="0"/>
              <w:right w:val="single" w:color="auto" w:sz="4" w:space="0"/>
            </w:tcBorders>
            <w:shd w:val="clear" w:color="auto" w:fill="FFFFFF" w:themeFill="background1"/>
            <w:noWrap/>
            <w:vAlign w:val="center"/>
          </w:tcPr>
          <w:p>
            <w:pPr>
              <w:widowControl/>
              <w:jc w:val="center"/>
              <w:rPr>
                <w:sz w:val="24"/>
                <w:szCs w:val="24"/>
              </w:rPr>
            </w:pPr>
          </w:p>
        </w:tc>
        <w:tc>
          <w:tcPr>
            <w:tcW w:w="3445" w:type="pct"/>
            <w:tcBorders>
              <w:top w:val="nil"/>
              <w:left w:val="nil"/>
              <w:bottom w:val="single" w:color="auto" w:sz="4" w:space="0"/>
              <w:right w:val="single" w:color="auto" w:sz="4" w:space="0"/>
            </w:tcBorders>
            <w:shd w:val="clear" w:color="auto" w:fill="FFFFFF" w:themeFill="background1"/>
            <w:noWrap w:val="0"/>
            <w:vAlign w:val="center"/>
          </w:tcPr>
          <w:p>
            <w:pPr>
              <w:widowControl/>
              <w:rPr>
                <w:rFonts w:hint="eastAsia" w:ascii="仿宋" w:hAnsi="仿宋" w:eastAsia="仿宋" w:cs="宋体"/>
                <w:color w:val="000000"/>
                <w:kern w:val="0"/>
                <w:sz w:val="22"/>
              </w:rPr>
            </w:pPr>
            <w:r>
              <w:rPr>
                <w:rFonts w:hint="eastAsia" w:ascii="仿宋" w:hAnsi="仿宋" w:eastAsia="仿宋" w:cs="宋体"/>
                <w:b/>
                <w:bCs/>
                <w:color w:val="000000"/>
                <w:kern w:val="0"/>
                <w:sz w:val="22"/>
              </w:rPr>
              <w:t>（注：投</w:t>
            </w:r>
            <w:r>
              <w:rPr>
                <w:rFonts w:hint="eastAsia" w:ascii="仿宋" w:hAnsi="仿宋" w:eastAsia="仿宋" w:cs="宋体"/>
                <w:b/>
                <w:bCs/>
                <w:color w:val="000000"/>
                <w:kern w:val="0"/>
                <w:sz w:val="22"/>
                <w:lang w:eastAsia="zh-CN"/>
              </w:rPr>
              <w:t>选</w:t>
            </w:r>
            <w:r>
              <w:rPr>
                <w:rFonts w:hint="eastAsia" w:ascii="仿宋" w:hAnsi="仿宋" w:eastAsia="仿宋" w:cs="宋体"/>
                <w:b/>
                <w:bCs/>
                <w:color w:val="000000"/>
                <w:kern w:val="0"/>
                <w:sz w:val="22"/>
              </w:rPr>
              <w:t>文件中须提供合同或协议的原件扫描件，扫描件应能辨识买卖双方公章、签订时间；如业绩合同不能体现以上全部内容，不得分）</w:t>
            </w:r>
          </w:p>
        </w:tc>
      </w:tr>
      <w:tr>
        <w:tblPrEx>
          <w:tblCellMar>
            <w:top w:w="0" w:type="dxa"/>
            <w:left w:w="108" w:type="dxa"/>
            <w:bottom w:w="0" w:type="dxa"/>
            <w:right w:w="108" w:type="dxa"/>
          </w:tblCellMar>
        </w:tblPrEx>
        <w:trPr>
          <w:trHeight w:val="816" w:hRule="atLeast"/>
        </w:trPr>
        <w:tc>
          <w:tcPr>
            <w:tcW w:w="457" w:type="pct"/>
            <w:vMerge w:val="restart"/>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590" w:type="pct"/>
            <w:vMerge w:val="restart"/>
            <w:tcBorders>
              <w:top w:val="nil"/>
              <w:left w:val="single" w:color="auto" w:sz="4" w:space="0"/>
              <w:bottom w:val="single" w:color="auto" w:sz="4" w:space="0"/>
              <w:right w:val="single" w:color="auto" w:sz="4" w:space="0"/>
            </w:tcBorders>
            <w:shd w:val="clear" w:color="auto" w:fill="FFFFFF" w:themeFill="background1"/>
            <w:noWrap w:val="0"/>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团队人员实力</w:t>
            </w:r>
          </w:p>
        </w:tc>
        <w:tc>
          <w:tcPr>
            <w:tcW w:w="506" w:type="pct"/>
            <w:tcBorders>
              <w:top w:val="nil"/>
              <w:left w:val="nil"/>
              <w:bottom w:val="single" w:color="auto" w:sz="4" w:space="0"/>
              <w:right w:val="single" w:color="auto" w:sz="4" w:space="0"/>
            </w:tcBorders>
            <w:shd w:val="clear" w:color="auto" w:fill="FFFFFF" w:themeFill="background1"/>
            <w:noWrap/>
            <w:vAlign w:val="center"/>
          </w:tcPr>
          <w:p>
            <w:pPr>
              <w:widowControl/>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15</w:t>
            </w:r>
          </w:p>
        </w:tc>
        <w:tc>
          <w:tcPr>
            <w:tcW w:w="3445" w:type="pct"/>
            <w:tcBorders>
              <w:top w:val="nil"/>
              <w:left w:val="nil"/>
              <w:bottom w:val="single" w:color="auto" w:sz="4" w:space="0"/>
              <w:right w:val="single" w:color="auto" w:sz="4" w:space="0"/>
            </w:tcBorders>
            <w:shd w:val="clear" w:color="auto" w:fill="FFFFFF" w:themeFill="background1"/>
            <w:noWrap w:val="0"/>
            <w:vAlign w:val="center"/>
          </w:tcPr>
          <w:p>
            <w:pPr>
              <w:widowControl/>
              <w:numPr>
                <w:ilvl w:val="0"/>
                <w:numId w:val="1"/>
              </w:numP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供应商</w:t>
            </w:r>
            <w:r>
              <w:rPr>
                <w:rFonts w:hint="eastAsia" w:ascii="仿宋" w:hAnsi="仿宋" w:eastAsia="仿宋" w:cs="宋体"/>
                <w:color w:val="000000"/>
                <w:kern w:val="0"/>
                <w:sz w:val="22"/>
              </w:rPr>
              <w:t>项目组人数大于</w:t>
            </w:r>
            <w:r>
              <w:rPr>
                <w:rFonts w:hint="eastAsia" w:ascii="仿宋" w:hAnsi="仿宋" w:eastAsia="仿宋" w:cs="宋体"/>
                <w:color w:val="000000"/>
                <w:kern w:val="0"/>
                <w:sz w:val="22"/>
                <w:lang w:val="en-US" w:eastAsia="zh-CN"/>
              </w:rPr>
              <w:t>10</w:t>
            </w:r>
            <w:r>
              <w:rPr>
                <w:rFonts w:hint="eastAsia" w:ascii="仿宋" w:hAnsi="仿宋" w:eastAsia="仿宋" w:cs="宋体"/>
                <w:color w:val="000000"/>
                <w:kern w:val="0"/>
                <w:sz w:val="22"/>
              </w:rPr>
              <w:t>人</w:t>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得7分</w:t>
            </w:r>
          </w:p>
          <w:p>
            <w:pPr>
              <w:widowControl/>
              <w:numPr>
                <w:ilvl w:val="0"/>
                <w:numId w:val="1"/>
              </w:numPr>
              <w:rPr>
                <w:rFonts w:ascii="仿宋" w:hAnsi="仿宋" w:eastAsia="仿宋" w:cs="宋体"/>
                <w:color w:val="000000"/>
                <w:kern w:val="0"/>
                <w:sz w:val="22"/>
              </w:rPr>
            </w:pPr>
            <w:r>
              <w:rPr>
                <w:rFonts w:hint="eastAsia" w:ascii="仿宋" w:hAnsi="仿宋" w:eastAsia="仿宋" w:cs="宋体"/>
                <w:color w:val="000000"/>
                <w:kern w:val="0"/>
                <w:sz w:val="22"/>
                <w:lang w:val="en-US" w:eastAsia="zh-CN"/>
              </w:rPr>
              <w:t>供应商项目组人员</w:t>
            </w:r>
            <w:r>
              <w:rPr>
                <w:rFonts w:hint="eastAsia" w:ascii="仿宋" w:hAnsi="仿宋" w:eastAsia="仿宋" w:cs="宋体"/>
                <w:color w:val="000000"/>
                <w:kern w:val="0"/>
                <w:sz w:val="22"/>
              </w:rPr>
              <w:t>本科及以上学历的人数占比大于80%；得</w:t>
            </w:r>
            <w:r>
              <w:rPr>
                <w:rFonts w:hint="eastAsia" w:ascii="仿宋" w:hAnsi="仿宋" w:eastAsia="仿宋" w:cs="宋体"/>
                <w:color w:val="000000"/>
                <w:kern w:val="0"/>
                <w:sz w:val="22"/>
                <w:lang w:val="en-US" w:eastAsia="zh-CN"/>
              </w:rPr>
              <w:t>8</w:t>
            </w:r>
            <w:r>
              <w:rPr>
                <w:rFonts w:hint="eastAsia" w:ascii="仿宋" w:hAnsi="仿宋" w:eastAsia="仿宋" w:cs="宋体"/>
                <w:color w:val="000000"/>
                <w:kern w:val="0"/>
                <w:sz w:val="22"/>
              </w:rPr>
              <w:t>分，本项满分15分。</w:t>
            </w:r>
          </w:p>
        </w:tc>
      </w:tr>
      <w:tr>
        <w:tblPrEx>
          <w:tblCellMar>
            <w:top w:w="0" w:type="dxa"/>
            <w:left w:w="108" w:type="dxa"/>
            <w:bottom w:w="0" w:type="dxa"/>
            <w:right w:w="108" w:type="dxa"/>
          </w:tblCellMar>
        </w:tblPrEx>
        <w:trPr>
          <w:trHeight w:val="1032" w:hRule="atLeast"/>
        </w:trPr>
        <w:tc>
          <w:tcPr>
            <w:tcW w:w="457"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pPr>
              <w:widowControl/>
              <w:jc w:val="center"/>
              <w:rPr>
                <w:rFonts w:ascii="宋体" w:hAnsi="宋体" w:cs="宋体"/>
                <w:kern w:val="0"/>
                <w:sz w:val="24"/>
                <w:szCs w:val="24"/>
              </w:rPr>
            </w:pPr>
          </w:p>
        </w:tc>
        <w:tc>
          <w:tcPr>
            <w:tcW w:w="590"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pPr>
              <w:widowControl/>
              <w:jc w:val="center"/>
              <w:rPr>
                <w:rFonts w:ascii="仿宋" w:hAnsi="仿宋" w:eastAsia="仿宋" w:cs="宋体"/>
                <w:color w:val="000000"/>
                <w:kern w:val="0"/>
                <w:sz w:val="24"/>
                <w:szCs w:val="24"/>
              </w:rPr>
            </w:pPr>
          </w:p>
        </w:tc>
        <w:tc>
          <w:tcPr>
            <w:tcW w:w="506" w:type="pct"/>
            <w:vMerge w:val="restart"/>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30</w:t>
            </w:r>
          </w:p>
        </w:tc>
        <w:tc>
          <w:tcPr>
            <w:tcW w:w="3445" w:type="pct"/>
            <w:tcBorders>
              <w:top w:val="nil"/>
              <w:left w:val="nil"/>
              <w:bottom w:val="single" w:color="auto" w:sz="4" w:space="0"/>
              <w:right w:val="single" w:color="auto" w:sz="4" w:space="0"/>
            </w:tcBorders>
            <w:shd w:val="clear" w:color="auto" w:fill="FFFFFF" w:themeFill="background1"/>
            <w:noWrap w:val="0"/>
            <w:vAlign w:val="center"/>
          </w:tcPr>
          <w:p>
            <w:pPr>
              <w:widowControl/>
              <w:rPr>
                <w:rFonts w:ascii="仿宋" w:hAnsi="仿宋" w:eastAsia="仿宋" w:cs="宋体"/>
                <w:color w:val="000000"/>
                <w:kern w:val="0"/>
                <w:sz w:val="22"/>
              </w:rPr>
            </w:pPr>
            <w:r>
              <w:rPr>
                <w:rFonts w:hint="eastAsia" w:ascii="仿宋" w:hAnsi="仿宋" w:eastAsia="仿宋" w:cs="宋体"/>
                <w:color w:val="000000"/>
                <w:kern w:val="0"/>
                <w:sz w:val="22"/>
              </w:rPr>
              <w:t>（2）</w:t>
            </w:r>
            <w:r>
              <w:rPr>
                <w:rFonts w:hint="eastAsia" w:ascii="仿宋" w:hAnsi="仿宋" w:eastAsia="仿宋" w:cs="宋体"/>
                <w:color w:val="000000"/>
                <w:kern w:val="0"/>
                <w:sz w:val="22"/>
                <w:lang w:val="en-US" w:eastAsia="zh-CN"/>
              </w:rPr>
              <w:t>供应商</w:t>
            </w:r>
            <w:r>
              <w:rPr>
                <w:rFonts w:hint="eastAsia" w:ascii="仿宋" w:hAnsi="仿宋" w:eastAsia="仿宋" w:cs="宋体"/>
                <w:color w:val="000000"/>
                <w:kern w:val="0"/>
                <w:sz w:val="22"/>
              </w:rPr>
              <w:t>团队成员中，具备中级会计师、注册会计师、金融分析师、律师从业资格证、证券从业资格证、基金从业资格证的，每提供一项得</w:t>
            </w:r>
            <w:r>
              <w:rPr>
                <w:rFonts w:hint="eastAsia" w:ascii="仿宋" w:hAnsi="仿宋" w:eastAsia="仿宋" w:cs="宋体"/>
                <w:color w:val="000000"/>
                <w:kern w:val="0"/>
                <w:sz w:val="22"/>
                <w:lang w:val="en-US" w:eastAsia="zh-CN"/>
              </w:rPr>
              <w:t>5</w:t>
            </w:r>
            <w:r>
              <w:rPr>
                <w:rFonts w:hint="eastAsia" w:ascii="仿宋" w:hAnsi="仿宋" w:eastAsia="仿宋" w:cs="宋体"/>
                <w:color w:val="000000"/>
                <w:kern w:val="0"/>
                <w:sz w:val="22"/>
              </w:rPr>
              <w:t>分，全部提供得</w:t>
            </w:r>
            <w:r>
              <w:rPr>
                <w:rFonts w:hint="eastAsia" w:ascii="仿宋" w:hAnsi="仿宋" w:eastAsia="仿宋" w:cs="宋体"/>
                <w:color w:val="000000"/>
                <w:kern w:val="0"/>
                <w:sz w:val="22"/>
                <w:lang w:val="en-US" w:eastAsia="zh-CN"/>
              </w:rPr>
              <w:t>30</w:t>
            </w:r>
            <w:r>
              <w:rPr>
                <w:rFonts w:hint="eastAsia" w:ascii="仿宋" w:hAnsi="仿宋" w:eastAsia="仿宋" w:cs="宋体"/>
                <w:color w:val="000000"/>
                <w:kern w:val="0"/>
                <w:sz w:val="22"/>
              </w:rPr>
              <w:t>分。（同一人员有多个证书可以重复计分）</w:t>
            </w:r>
          </w:p>
        </w:tc>
      </w:tr>
      <w:tr>
        <w:tblPrEx>
          <w:tblCellMar>
            <w:top w:w="0" w:type="dxa"/>
            <w:left w:w="108" w:type="dxa"/>
            <w:bottom w:w="0" w:type="dxa"/>
            <w:right w:w="108" w:type="dxa"/>
          </w:tblCellMar>
        </w:tblPrEx>
        <w:trPr>
          <w:trHeight w:val="864" w:hRule="atLeast"/>
        </w:trPr>
        <w:tc>
          <w:tcPr>
            <w:tcW w:w="457"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pPr>
              <w:widowControl/>
              <w:jc w:val="center"/>
              <w:rPr>
                <w:rFonts w:ascii="宋体" w:hAnsi="宋体" w:cs="宋体"/>
                <w:kern w:val="0"/>
                <w:sz w:val="24"/>
                <w:szCs w:val="24"/>
              </w:rPr>
            </w:pPr>
          </w:p>
        </w:tc>
        <w:tc>
          <w:tcPr>
            <w:tcW w:w="590"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pPr>
              <w:widowControl/>
              <w:jc w:val="center"/>
              <w:rPr>
                <w:rFonts w:ascii="仿宋" w:hAnsi="仿宋" w:eastAsia="仿宋" w:cs="宋体"/>
                <w:color w:val="000000"/>
                <w:kern w:val="0"/>
                <w:sz w:val="24"/>
                <w:szCs w:val="24"/>
              </w:rPr>
            </w:pPr>
          </w:p>
        </w:tc>
        <w:tc>
          <w:tcPr>
            <w:tcW w:w="506"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pPr>
              <w:widowControl/>
              <w:jc w:val="center"/>
              <w:rPr>
                <w:rFonts w:ascii="仿宋" w:hAnsi="仿宋" w:eastAsia="仿宋" w:cs="宋体"/>
                <w:color w:val="000000"/>
                <w:kern w:val="0"/>
                <w:sz w:val="24"/>
                <w:szCs w:val="24"/>
              </w:rPr>
            </w:pPr>
          </w:p>
        </w:tc>
        <w:tc>
          <w:tcPr>
            <w:tcW w:w="3445" w:type="pct"/>
            <w:tcBorders>
              <w:top w:val="nil"/>
              <w:left w:val="nil"/>
              <w:bottom w:val="single" w:color="auto" w:sz="4" w:space="0"/>
              <w:right w:val="single" w:color="auto" w:sz="4" w:space="0"/>
            </w:tcBorders>
            <w:shd w:val="clear" w:color="auto" w:fill="FFFFFF" w:themeFill="background1"/>
            <w:noWrap w:val="0"/>
            <w:vAlign w:val="center"/>
          </w:tcPr>
          <w:p>
            <w:pPr>
              <w:widowControl/>
              <w:rPr>
                <w:rFonts w:ascii="仿宋" w:hAnsi="仿宋" w:eastAsia="仿宋" w:cs="宋体"/>
                <w:b/>
                <w:bCs/>
                <w:color w:val="000000"/>
                <w:kern w:val="0"/>
                <w:sz w:val="22"/>
              </w:rPr>
            </w:pPr>
            <w:r>
              <w:rPr>
                <w:rFonts w:hint="eastAsia" w:ascii="仿宋" w:hAnsi="仿宋" w:eastAsia="仿宋" w:cs="宋体"/>
                <w:b/>
                <w:bCs/>
                <w:color w:val="000000"/>
                <w:kern w:val="0"/>
                <w:sz w:val="22"/>
              </w:rPr>
              <w:t>（注：</w:t>
            </w:r>
            <w:r>
              <w:rPr>
                <w:rFonts w:hint="eastAsia" w:ascii="仿宋" w:hAnsi="仿宋" w:eastAsia="仿宋" w:cs="宋体"/>
                <w:b/>
                <w:bCs/>
                <w:color w:val="000000"/>
                <w:kern w:val="0"/>
                <w:sz w:val="22"/>
                <w:lang w:eastAsia="zh-CN"/>
              </w:rPr>
              <w:t>报名机构</w:t>
            </w:r>
            <w:r>
              <w:rPr>
                <w:rFonts w:hint="eastAsia" w:ascii="仿宋" w:hAnsi="仿宋" w:eastAsia="仿宋" w:cs="宋体"/>
                <w:b/>
                <w:bCs/>
                <w:color w:val="000000"/>
                <w:kern w:val="0"/>
                <w:sz w:val="22"/>
              </w:rPr>
              <w:t>须提供上述人员相应证书以及社会保险管理机构出具的在本单位缴纳的近3个月的</w:t>
            </w:r>
            <w:r>
              <w:rPr>
                <w:rFonts w:hint="eastAsia" w:ascii="仿宋" w:hAnsi="仿宋" w:eastAsia="仿宋" w:cs="宋体"/>
                <w:b/>
                <w:bCs/>
                <w:color w:val="000000"/>
                <w:kern w:val="0"/>
                <w:sz w:val="22"/>
                <w:lang w:val="en-US" w:eastAsia="zh-CN"/>
              </w:rPr>
              <w:t>本地</w:t>
            </w:r>
            <w:r>
              <w:rPr>
                <w:rFonts w:hint="eastAsia" w:ascii="仿宋" w:hAnsi="仿宋" w:eastAsia="仿宋" w:cs="宋体"/>
                <w:b/>
                <w:bCs/>
                <w:color w:val="000000"/>
                <w:kern w:val="0"/>
                <w:sz w:val="22"/>
              </w:rPr>
              <w:t>社保有效的证明材料附在文件中，否则该项不得分。）</w:t>
            </w:r>
          </w:p>
        </w:tc>
      </w:tr>
    </w:tbl>
    <w:p>
      <w:pPr>
        <w:pStyle w:val="6"/>
        <w:shd w:val="clear" w:color="auto" w:fill="FFFFFF"/>
        <w:spacing w:before="0" w:beforeAutospacing="0" w:after="0" w:afterAutospacing="0" w:line="360" w:lineRule="auto"/>
        <w:ind w:firstLine="560" w:firstLineChars="200"/>
        <w:jc w:val="both"/>
        <w:rPr>
          <w:rFonts w:hint="eastAsia" w:ascii="仿宋_GB2312" w:hAnsi="仿宋_GB2312" w:eastAsia="仿宋_GB2312"/>
          <w:color w:val="333333"/>
          <w:sz w:val="28"/>
          <w:szCs w:val="28"/>
        </w:rPr>
      </w:pPr>
      <w:r>
        <w:rPr>
          <w:rFonts w:hint="eastAsia" w:ascii="仿宋_GB2312" w:hAnsi="仿宋_GB2312" w:eastAsia="仿宋_GB2312"/>
          <w:color w:val="333333"/>
          <w:sz w:val="28"/>
          <w:szCs w:val="28"/>
        </w:rPr>
        <w:t xml:space="preserve"> 注：</w:t>
      </w:r>
    </w:p>
    <w:p>
      <w:pPr>
        <w:pStyle w:val="6"/>
        <w:shd w:val="clear" w:color="auto" w:fill="FFFFFF"/>
        <w:spacing w:before="0" w:beforeAutospacing="0" w:after="0" w:afterAutospacing="0" w:line="360" w:lineRule="auto"/>
        <w:ind w:firstLine="560" w:firstLineChars="200"/>
        <w:jc w:val="both"/>
        <w:rPr>
          <w:rFonts w:hint="eastAsia" w:ascii="仿宋_GB2312" w:hAnsi="仿宋_GB2312" w:eastAsia="仿宋_GB2312"/>
          <w:color w:val="333333"/>
          <w:sz w:val="28"/>
          <w:szCs w:val="28"/>
        </w:rPr>
      </w:pPr>
      <w:r>
        <w:rPr>
          <w:rFonts w:hint="eastAsia" w:ascii="仿宋_GB2312" w:hAnsi="仿宋_GB2312" w:eastAsia="仿宋_GB2312"/>
          <w:color w:val="333333"/>
          <w:sz w:val="28"/>
          <w:szCs w:val="28"/>
        </w:rPr>
        <w:t>1、评审事宜：</w:t>
      </w:r>
    </w:p>
    <w:p>
      <w:pPr>
        <w:pStyle w:val="6"/>
        <w:shd w:val="clear" w:color="auto" w:fill="FFFFFF"/>
        <w:spacing w:before="0" w:beforeAutospacing="0" w:after="0" w:afterAutospacing="0" w:line="360" w:lineRule="auto"/>
        <w:ind w:firstLine="560" w:firstLineChars="200"/>
        <w:jc w:val="both"/>
        <w:rPr>
          <w:rFonts w:hint="eastAsia" w:ascii="仿宋_GB2312" w:hAnsi="仿宋_GB2312" w:eastAsia="仿宋_GB2312"/>
          <w:color w:val="333333"/>
          <w:sz w:val="28"/>
          <w:szCs w:val="28"/>
          <w:lang w:eastAsia="zh-CN"/>
        </w:rPr>
      </w:pPr>
      <w:r>
        <w:rPr>
          <w:rFonts w:hint="eastAsia" w:ascii="仿宋_GB2312" w:hAnsi="仿宋_GB2312" w:eastAsia="仿宋_GB2312"/>
          <w:color w:val="333333"/>
          <w:sz w:val="28"/>
          <w:szCs w:val="28"/>
        </w:rPr>
        <w:t>（1）本次评审采用综合评分法。评审委员对满足实质性要求的响应文件，按照规定的评分标准进行打分，并按得分由高到低顺序推荐成交供应商或确定成交候选供应商的顺序</w:t>
      </w:r>
      <w:r>
        <w:rPr>
          <w:rFonts w:hint="eastAsia" w:ascii="仿宋_GB2312" w:hAnsi="仿宋_GB2312" w:eastAsia="仿宋_GB2312"/>
          <w:color w:val="333333"/>
          <w:sz w:val="28"/>
          <w:szCs w:val="28"/>
          <w:lang w:eastAsia="zh-CN"/>
        </w:rPr>
        <w:t>；</w:t>
      </w:r>
    </w:p>
    <w:p>
      <w:pPr>
        <w:pStyle w:val="6"/>
        <w:shd w:val="clear" w:color="auto" w:fill="FFFFFF"/>
        <w:spacing w:before="0" w:beforeAutospacing="0" w:after="0" w:afterAutospacing="0" w:line="360" w:lineRule="auto"/>
        <w:ind w:firstLine="560" w:firstLineChars="200"/>
        <w:jc w:val="both"/>
        <w:rPr>
          <w:rFonts w:hint="eastAsia" w:ascii="仿宋_GB2312" w:hAnsi="仿宋_GB2312" w:eastAsia="仿宋_GB2312"/>
          <w:color w:val="333333"/>
          <w:sz w:val="28"/>
          <w:szCs w:val="28"/>
          <w:lang w:eastAsia="zh-CN"/>
        </w:rPr>
      </w:pPr>
      <w:r>
        <w:rPr>
          <w:rFonts w:hint="eastAsia" w:ascii="仿宋_GB2312" w:hAnsi="仿宋_GB2312" w:eastAsia="仿宋_GB2312"/>
          <w:color w:val="333333"/>
          <w:sz w:val="28"/>
          <w:szCs w:val="28"/>
        </w:rPr>
        <w:t>（</w:t>
      </w:r>
      <w:r>
        <w:rPr>
          <w:rFonts w:hint="eastAsia" w:ascii="仿宋_GB2312" w:hAnsi="仿宋_GB2312" w:eastAsia="仿宋_GB2312"/>
          <w:color w:val="333333"/>
          <w:sz w:val="28"/>
          <w:szCs w:val="28"/>
          <w:lang w:val="en-US" w:eastAsia="zh-CN"/>
        </w:rPr>
        <w:t>2</w:t>
      </w:r>
      <w:r>
        <w:rPr>
          <w:rFonts w:hint="eastAsia" w:ascii="仿宋_GB2312" w:hAnsi="仿宋_GB2312" w:eastAsia="仿宋_GB2312"/>
          <w:color w:val="333333"/>
          <w:sz w:val="28"/>
          <w:szCs w:val="28"/>
        </w:rPr>
        <w:t>）供应商的最终得分为各评委总分的算术平均分，分数出现小数点，保留小数点后两位，第三位小数四舍五入</w:t>
      </w:r>
      <w:r>
        <w:rPr>
          <w:rFonts w:hint="eastAsia" w:ascii="仿宋_GB2312" w:hAnsi="仿宋_GB2312" w:eastAsia="仿宋_GB2312"/>
          <w:color w:val="333333"/>
          <w:sz w:val="28"/>
          <w:szCs w:val="28"/>
          <w:lang w:eastAsia="zh-CN"/>
        </w:rPr>
        <w:t>；</w:t>
      </w:r>
    </w:p>
    <w:p>
      <w:pPr>
        <w:pStyle w:val="6"/>
        <w:shd w:val="clear" w:color="auto" w:fill="FFFFFF"/>
        <w:spacing w:before="0" w:beforeAutospacing="0" w:after="0" w:afterAutospacing="0" w:line="360" w:lineRule="auto"/>
        <w:ind w:firstLine="560" w:firstLineChars="200"/>
        <w:jc w:val="both"/>
        <w:rPr>
          <w:rFonts w:hint="eastAsia" w:ascii="仿宋_GB2312" w:hAnsi="仿宋_GB2312" w:eastAsia="仿宋_GB2312"/>
          <w:color w:val="333333"/>
          <w:sz w:val="28"/>
          <w:szCs w:val="28"/>
        </w:rPr>
      </w:pPr>
      <w:r>
        <w:rPr>
          <w:rFonts w:hint="eastAsia" w:ascii="仿宋_GB2312" w:hAnsi="仿宋_GB2312" w:eastAsia="仿宋_GB2312"/>
          <w:color w:val="333333"/>
          <w:sz w:val="28"/>
          <w:szCs w:val="28"/>
        </w:rPr>
        <w:t>（</w:t>
      </w:r>
      <w:r>
        <w:rPr>
          <w:rFonts w:hint="eastAsia" w:ascii="仿宋_GB2312" w:hAnsi="仿宋_GB2312" w:eastAsia="仿宋_GB2312"/>
          <w:color w:val="333333"/>
          <w:sz w:val="28"/>
          <w:szCs w:val="28"/>
          <w:lang w:val="en-US" w:eastAsia="zh-CN"/>
        </w:rPr>
        <w:t>3</w:t>
      </w:r>
      <w:r>
        <w:rPr>
          <w:rFonts w:hint="eastAsia" w:ascii="仿宋_GB2312" w:hAnsi="仿宋_GB2312" w:eastAsia="仿宋_GB2312"/>
          <w:color w:val="333333"/>
          <w:sz w:val="28"/>
          <w:szCs w:val="28"/>
        </w:rPr>
        <w:t>）响应文件中提供的证明材料（文字、图片）不完整、模糊不清、不准确，造成评审小组的误评、错评及不利的评审后果由供应商自行承担</w:t>
      </w:r>
      <w:r>
        <w:rPr>
          <w:rFonts w:hint="eastAsia" w:ascii="仿宋_GB2312" w:hAnsi="仿宋_GB2312" w:eastAsia="仿宋_GB2312"/>
          <w:color w:val="333333"/>
          <w:sz w:val="28"/>
          <w:szCs w:val="28"/>
          <w:lang w:eastAsia="zh-CN"/>
        </w:rPr>
        <w:t>；</w:t>
      </w:r>
      <w:r>
        <w:rPr>
          <w:rFonts w:hint="eastAsia" w:ascii="仿宋_GB2312" w:hAnsi="仿宋_GB2312" w:eastAsia="仿宋_GB2312"/>
          <w:color w:val="333333"/>
          <w:sz w:val="28"/>
          <w:szCs w:val="28"/>
        </w:rPr>
        <w:t xml:space="preserve"> </w:t>
      </w:r>
    </w:p>
    <w:p>
      <w:pPr>
        <w:pStyle w:val="6"/>
        <w:shd w:val="clear" w:color="auto" w:fill="FFFFFF"/>
        <w:spacing w:before="0" w:beforeAutospacing="0" w:after="0" w:afterAutospacing="0" w:line="360" w:lineRule="auto"/>
        <w:ind w:firstLine="560" w:firstLineChars="200"/>
        <w:jc w:val="both"/>
        <w:rPr>
          <w:rFonts w:hint="eastAsia" w:ascii="仿宋_GB2312" w:hAnsi="仿宋_GB2312" w:eastAsia="仿宋_GB2312"/>
          <w:color w:val="333333"/>
          <w:sz w:val="28"/>
          <w:szCs w:val="28"/>
        </w:rPr>
      </w:pPr>
      <w:r>
        <w:rPr>
          <w:rFonts w:hint="eastAsia" w:ascii="仿宋_GB2312" w:hAnsi="仿宋_GB2312" w:eastAsia="仿宋_GB2312"/>
          <w:color w:val="333333"/>
          <w:sz w:val="28"/>
          <w:szCs w:val="28"/>
        </w:rPr>
        <w:t>（</w:t>
      </w:r>
      <w:r>
        <w:rPr>
          <w:rFonts w:hint="eastAsia" w:ascii="仿宋_GB2312" w:hAnsi="仿宋_GB2312" w:eastAsia="仿宋_GB2312"/>
          <w:color w:val="333333"/>
          <w:sz w:val="28"/>
          <w:szCs w:val="28"/>
          <w:lang w:val="en-US" w:eastAsia="zh-CN"/>
        </w:rPr>
        <w:t>4</w:t>
      </w:r>
      <w:r>
        <w:rPr>
          <w:rFonts w:hint="eastAsia" w:ascii="仿宋_GB2312" w:hAnsi="仿宋_GB2312" w:eastAsia="仿宋_GB2312"/>
          <w:color w:val="333333"/>
          <w:sz w:val="28"/>
          <w:szCs w:val="28"/>
        </w:rPr>
        <w:t xml:space="preserve">）响应文件中提供的证明材料（文字、图片）须保证真实有效，如发现与事实不符，采购人有权取消成交供应商资格。 </w:t>
      </w:r>
    </w:p>
    <w:p>
      <w:pPr>
        <w:pStyle w:val="6"/>
        <w:shd w:val="clear" w:color="auto" w:fill="FFFFFF"/>
        <w:spacing w:before="0" w:beforeAutospacing="0" w:after="0" w:afterAutospacing="0" w:line="360" w:lineRule="auto"/>
        <w:ind w:firstLine="560" w:firstLineChars="200"/>
        <w:jc w:val="both"/>
        <w:rPr>
          <w:rFonts w:hint="eastAsia" w:ascii="仿宋_GB2312" w:hAnsi="仿宋_GB2312" w:eastAsia="仿宋_GB2312"/>
          <w:color w:val="333333"/>
          <w:sz w:val="28"/>
          <w:szCs w:val="28"/>
        </w:rPr>
      </w:pPr>
      <w:r>
        <w:rPr>
          <w:rFonts w:hint="eastAsia" w:ascii="仿宋_GB2312" w:hAnsi="仿宋_GB2312" w:eastAsia="仿宋_GB2312"/>
          <w:color w:val="333333"/>
          <w:sz w:val="28"/>
          <w:szCs w:val="28"/>
        </w:rPr>
        <w:t>2、其它补充事宜：</w:t>
      </w:r>
    </w:p>
    <w:p>
      <w:pPr>
        <w:pStyle w:val="6"/>
        <w:shd w:val="clear" w:color="auto" w:fill="FFFFFF"/>
        <w:spacing w:before="0" w:beforeAutospacing="0" w:after="0" w:afterAutospacing="0" w:line="360" w:lineRule="auto"/>
        <w:ind w:firstLine="560" w:firstLineChars="200"/>
        <w:jc w:val="both"/>
        <w:rPr>
          <w:rFonts w:hint="eastAsia" w:ascii="仿宋_GB2312" w:hAnsi="仿宋_GB2312" w:eastAsia="仿宋_GB2312"/>
          <w:color w:val="333333"/>
          <w:sz w:val="28"/>
          <w:szCs w:val="28"/>
        </w:rPr>
      </w:pPr>
      <w:r>
        <w:rPr>
          <w:rFonts w:hint="eastAsia" w:ascii="仿宋_GB2312" w:hAnsi="仿宋_GB2312" w:eastAsia="仿宋_GB2312"/>
          <w:color w:val="333333"/>
          <w:sz w:val="28"/>
          <w:szCs w:val="28"/>
        </w:rPr>
        <w:t>（1）本项目不收投标保证金；</w:t>
      </w:r>
    </w:p>
    <w:p>
      <w:pPr>
        <w:pStyle w:val="6"/>
        <w:shd w:val="clear" w:color="auto" w:fill="FFFFFF"/>
        <w:spacing w:before="0" w:beforeAutospacing="0" w:after="0" w:afterAutospacing="0" w:line="360" w:lineRule="auto"/>
        <w:ind w:firstLine="560" w:firstLineChars="200"/>
        <w:jc w:val="both"/>
        <w:rPr>
          <w:rFonts w:hint="eastAsia" w:ascii="仿宋_GB2312" w:hAnsi="仿宋_GB2312" w:eastAsia="仿宋_GB2312"/>
          <w:color w:val="333333"/>
          <w:sz w:val="28"/>
          <w:szCs w:val="28"/>
          <w:lang w:val="en-US" w:eastAsia="zh-CN"/>
        </w:rPr>
      </w:pPr>
      <w:r>
        <w:rPr>
          <w:rFonts w:hint="eastAsia" w:ascii="仿宋_GB2312" w:hAnsi="仿宋_GB2312" w:eastAsia="仿宋_GB2312"/>
          <w:color w:val="333333"/>
          <w:sz w:val="28"/>
          <w:szCs w:val="28"/>
        </w:rPr>
        <w:t>（</w:t>
      </w:r>
      <w:r>
        <w:rPr>
          <w:rFonts w:hint="eastAsia" w:ascii="仿宋_GB2312" w:hAnsi="仿宋_GB2312" w:eastAsia="仿宋_GB2312"/>
          <w:color w:val="333333"/>
          <w:sz w:val="28"/>
          <w:szCs w:val="28"/>
          <w:lang w:val="en-US" w:eastAsia="zh-CN"/>
        </w:rPr>
        <w:t>2</w:t>
      </w:r>
      <w:r>
        <w:rPr>
          <w:rFonts w:hint="eastAsia" w:ascii="仿宋_GB2312" w:hAnsi="仿宋_GB2312" w:eastAsia="仿宋_GB2312"/>
          <w:color w:val="333333"/>
          <w:sz w:val="28"/>
          <w:szCs w:val="28"/>
        </w:rPr>
        <w:t>）通过资格性审查的供应商不足3家的，将终止采购活动。</w:t>
      </w:r>
    </w:p>
    <w:p>
      <w:pPr>
        <w:pStyle w:val="6"/>
        <w:shd w:val="clear" w:color="auto" w:fill="FFFFFF"/>
        <w:spacing w:before="0" w:beforeAutospacing="0" w:after="0" w:afterAutospacing="0" w:line="360" w:lineRule="auto"/>
        <w:ind w:firstLine="560" w:firstLineChars="200"/>
        <w:jc w:val="both"/>
        <w:rPr>
          <w:rFonts w:hint="eastAsia" w:ascii="仿宋_GB2312" w:hAnsi="仿宋_GB2312" w:eastAsia="仿宋_GB2312"/>
          <w:color w:val="333333"/>
          <w:sz w:val="28"/>
          <w:szCs w:val="28"/>
          <w:lang w:val="en-US" w:eastAsia="zh-CN"/>
        </w:rPr>
      </w:pPr>
      <w:r>
        <w:rPr>
          <w:rFonts w:hint="eastAsia" w:ascii="仿宋_GB2312" w:hAnsi="仿宋_GB2312" w:eastAsia="仿宋_GB2312"/>
          <w:color w:val="333333"/>
          <w:sz w:val="28"/>
          <w:szCs w:val="28"/>
          <w:lang w:eastAsia="zh-CN"/>
        </w:rPr>
        <w:t>（</w:t>
      </w:r>
      <w:r>
        <w:rPr>
          <w:rFonts w:hint="eastAsia" w:ascii="仿宋_GB2312" w:hAnsi="仿宋_GB2312" w:eastAsia="仿宋_GB2312"/>
          <w:color w:val="333333"/>
          <w:sz w:val="28"/>
          <w:szCs w:val="28"/>
          <w:lang w:val="en-US" w:eastAsia="zh-CN"/>
        </w:rPr>
        <w:t>3）</w:t>
      </w:r>
      <w:r>
        <w:rPr>
          <w:rFonts w:hint="eastAsia" w:ascii="仿宋_GB2312" w:hAnsi="仿宋_GB2312" w:eastAsia="仿宋_GB2312"/>
          <w:color w:val="333333"/>
          <w:sz w:val="28"/>
          <w:szCs w:val="28"/>
        </w:rPr>
        <w:t>服务年限签订协议为一年。</w:t>
      </w:r>
      <w:r>
        <w:rPr>
          <w:rFonts w:hint="eastAsia" w:ascii="仿宋_GB2312" w:hAnsi="仿宋_GB2312" w:eastAsia="仿宋_GB2312"/>
          <w:color w:val="333333"/>
          <w:sz w:val="28"/>
          <w:szCs w:val="28"/>
          <w:lang w:val="en-US" w:eastAsia="zh-CN"/>
        </w:rPr>
        <w:t>供应商</w:t>
      </w:r>
      <w:r>
        <w:rPr>
          <w:rFonts w:hint="eastAsia" w:ascii="仿宋_GB2312" w:hAnsi="仿宋_GB2312" w:eastAsia="仿宋_GB2312"/>
          <w:color w:val="333333"/>
          <w:sz w:val="28"/>
          <w:szCs w:val="28"/>
        </w:rPr>
        <w:t>在最高限价范围内、规定时间内报价。项目成交价格其中包含尽调成本、差旅费用、餐饮费用等所有费用</w:t>
      </w:r>
      <w:r>
        <w:rPr>
          <w:rFonts w:hint="eastAsia" w:ascii="仿宋_GB2312" w:hAnsi="仿宋_GB2312" w:eastAsia="仿宋_GB2312"/>
          <w:color w:val="333333"/>
          <w:sz w:val="28"/>
          <w:szCs w:val="28"/>
          <w:lang w:val="en-US" w:eastAsia="zh-CN"/>
        </w:rPr>
        <w:t>;</w:t>
      </w:r>
    </w:p>
    <w:p>
      <w:pPr>
        <w:pStyle w:val="6"/>
        <w:shd w:val="clear" w:color="auto" w:fill="FFFFFF"/>
        <w:spacing w:before="0" w:beforeAutospacing="0" w:after="0" w:afterAutospacing="0" w:line="360" w:lineRule="auto"/>
        <w:ind w:firstLine="560" w:firstLineChars="200"/>
        <w:jc w:val="both"/>
      </w:pPr>
      <w:r>
        <w:rPr>
          <w:rFonts w:hint="eastAsia" w:ascii="仿宋_GB2312" w:hAnsi="仿宋_GB2312" w:eastAsia="仿宋_GB2312"/>
          <w:color w:val="333333"/>
          <w:sz w:val="28"/>
          <w:szCs w:val="28"/>
          <w:lang w:val="en-US" w:eastAsia="zh-CN"/>
        </w:rPr>
        <w:t>（4）如果是因为成交供应商的尽调及投资分析报告导致我公司的投资出现严重损失，我公司有权立即终止合同并追究其责任和划扣其履约保证金（履约保证金签合同时据实收取）。</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8850AE"/>
    <w:multiLevelType w:val="singleLevel"/>
    <w:tmpl w:val="BE8850A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4Mzk3ZmVlYjRlYjdlNGQ1YThlYTNkYTg2ZTM1MTEifQ=="/>
  </w:docVars>
  <w:rsids>
    <w:rsidRoot w:val="6B7636D8"/>
    <w:rsid w:val="6B763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300" w:lineRule="auto"/>
      <w:jc w:val="center"/>
    </w:pPr>
    <w:rPr>
      <w:b/>
      <w:bCs/>
      <w:sz w:val="44"/>
    </w:rPr>
  </w:style>
  <w:style w:type="paragraph" w:styleId="3">
    <w:name w:val="Body Text First Indent"/>
    <w:next w:val="4"/>
    <w:qFormat/>
    <w:uiPriority w:val="0"/>
    <w:pPr>
      <w:widowControl w:val="0"/>
      <w:spacing w:after="120" w:afterLines="0"/>
      <w:ind w:firstLine="420" w:firstLineChars="100"/>
      <w:jc w:val="both"/>
    </w:pPr>
    <w:rPr>
      <w:rFonts w:ascii="Arial" w:hAnsi="Arial" w:eastAsia="宋体" w:cs="Times New Roman"/>
      <w:kern w:val="2"/>
      <w:sz w:val="21"/>
      <w:szCs w:val="24"/>
      <w:lang w:val="en-US" w:eastAsia="zh-CN" w:bidi="ar-SA"/>
    </w:rPr>
  </w:style>
  <w:style w:type="paragraph" w:styleId="4">
    <w:name w:val="toc 6"/>
    <w:next w:val="1"/>
    <w:semiHidden/>
    <w:qFormat/>
    <w:uiPriority w:val="0"/>
    <w:pPr>
      <w:widowControl w:val="0"/>
      <w:ind w:left="1050"/>
      <w:jc w:val="left"/>
    </w:pPr>
    <w:rPr>
      <w:rFonts w:ascii="Calibri" w:hAnsi="Calibri" w:eastAsia="宋体" w:cs="Times New Roman"/>
      <w:kern w:val="2"/>
      <w:sz w:val="18"/>
      <w:szCs w:val="18"/>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正文_0_0"/>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2023-11-15T09:01:00Z</dcterms:created>
  <dc:creator>qianjin</dc:creator>
  <cp:lastModifiedBy>qianjin</cp:lastModifiedBy>
  <dcterms:modified xsi:type="dcterms:W3CDTF">2023-11-15T09:01:43Z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41A427BE3249479BA6D9D49B088FB1CA_11</vt:lpwstr>
  </property>
</Properties>
</file>