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马鞍山长江西岸（和县段）生态保护与绿色发展项目——</w:t>
      </w:r>
    </w:p>
    <w:p>
      <w:pPr>
        <w:jc w:val="center"/>
        <w:rPr>
          <w:rFonts w:hint="eastAsia"/>
          <w:b/>
          <w:bCs/>
          <w:sz w:val="32"/>
          <w:szCs w:val="32"/>
          <w:lang w:val="en-US" w:eastAsia="zh-CN"/>
        </w:rPr>
      </w:pPr>
      <w:r>
        <w:rPr>
          <w:rFonts w:hint="eastAsia"/>
          <w:b/>
          <w:bCs/>
          <w:sz w:val="32"/>
          <w:szCs w:val="32"/>
          <w:lang w:val="en-US" w:eastAsia="zh-CN"/>
        </w:rPr>
        <w:t>和州之心和海峡大道至太阳河口段（EPC总承包）</w:t>
      </w:r>
    </w:p>
    <w:p>
      <w:pPr>
        <w:jc w:val="center"/>
        <w:rPr>
          <w:b/>
          <w:bCs/>
          <w:sz w:val="32"/>
          <w:szCs w:val="32"/>
        </w:rPr>
      </w:pPr>
      <w:r>
        <w:rPr>
          <w:rFonts w:hint="eastAsia"/>
          <w:b/>
          <w:bCs/>
          <w:sz w:val="32"/>
          <w:szCs w:val="32"/>
          <w:lang w:val="en-US" w:eastAsia="zh-CN"/>
        </w:rPr>
        <w:t>跟踪审计项目</w:t>
      </w:r>
      <w:r>
        <w:rPr>
          <w:rFonts w:hint="eastAsia"/>
          <w:b/>
          <w:bCs/>
          <w:sz w:val="32"/>
          <w:szCs w:val="32"/>
        </w:rPr>
        <w:t>公开</w:t>
      </w:r>
      <w:r>
        <w:rPr>
          <w:rFonts w:hint="eastAsia"/>
          <w:b/>
          <w:bCs/>
          <w:sz w:val="32"/>
          <w:szCs w:val="32"/>
          <w:lang w:val="en-US" w:eastAsia="zh-CN"/>
        </w:rPr>
        <w:t>比选</w:t>
      </w:r>
      <w:r>
        <w:rPr>
          <w:rFonts w:hint="eastAsia"/>
          <w:b/>
          <w:bCs/>
          <w:sz w:val="32"/>
          <w:szCs w:val="32"/>
        </w:rPr>
        <w:t>公告</w:t>
      </w:r>
    </w:p>
    <w:p>
      <w:pPr>
        <w:numPr>
          <w:ilvl w:val="0"/>
          <w:numId w:val="1"/>
        </w:numPr>
        <w:rPr>
          <w:sz w:val="28"/>
          <w:szCs w:val="28"/>
        </w:rPr>
      </w:pPr>
      <w:r>
        <w:rPr>
          <w:rFonts w:hint="eastAsia"/>
          <w:sz w:val="28"/>
          <w:szCs w:val="28"/>
        </w:rPr>
        <w:t>项目基本情况</w:t>
      </w:r>
    </w:p>
    <w:p>
      <w:pPr>
        <w:numPr>
          <w:ilvl w:val="0"/>
          <w:numId w:val="2"/>
        </w:numPr>
        <w:ind w:firstLine="560" w:firstLineChars="200"/>
        <w:rPr>
          <w:sz w:val="28"/>
          <w:szCs w:val="28"/>
        </w:rPr>
      </w:pPr>
      <w:r>
        <w:rPr>
          <w:rFonts w:hint="eastAsia"/>
          <w:sz w:val="28"/>
          <w:szCs w:val="28"/>
        </w:rPr>
        <w:t>项目编号：HZ</w:t>
      </w:r>
      <w:r>
        <w:rPr>
          <w:rFonts w:hint="eastAsia"/>
          <w:sz w:val="28"/>
          <w:szCs w:val="28"/>
          <w:lang w:val="en-US" w:eastAsia="zh-CN"/>
        </w:rPr>
        <w:t>ZY-2023-005</w:t>
      </w:r>
      <w:r>
        <w:rPr>
          <w:rFonts w:hint="eastAsia"/>
          <w:sz w:val="28"/>
          <w:szCs w:val="28"/>
        </w:rPr>
        <w:t>；</w:t>
      </w:r>
    </w:p>
    <w:p>
      <w:pPr>
        <w:numPr>
          <w:ilvl w:val="0"/>
          <w:numId w:val="2"/>
        </w:numPr>
        <w:ind w:firstLine="560" w:firstLineChars="200"/>
        <w:rPr>
          <w:sz w:val="28"/>
          <w:szCs w:val="28"/>
        </w:rPr>
      </w:pPr>
      <w:r>
        <w:rPr>
          <w:rFonts w:hint="eastAsia"/>
          <w:sz w:val="28"/>
          <w:szCs w:val="28"/>
        </w:rPr>
        <w:t>项目名称：</w:t>
      </w:r>
      <w:r>
        <w:rPr>
          <w:rFonts w:hint="eastAsia"/>
          <w:sz w:val="28"/>
          <w:szCs w:val="28"/>
          <w:lang w:val="en-US" w:eastAsia="zh-CN"/>
        </w:rPr>
        <w:t>马鞍山长江西岸（和县段）生态保护与绿色发展项目——和州之心和海峡大道至太阳河口段（EPC总承包）跟踪审计项目</w:t>
      </w:r>
      <w:r>
        <w:rPr>
          <w:rFonts w:hint="eastAsia"/>
          <w:sz w:val="28"/>
          <w:szCs w:val="28"/>
        </w:rPr>
        <w:t>；</w:t>
      </w:r>
    </w:p>
    <w:p>
      <w:pPr>
        <w:numPr>
          <w:ilvl w:val="0"/>
          <w:numId w:val="2"/>
        </w:numPr>
        <w:ind w:left="0" w:leftChars="0" w:firstLine="560" w:firstLineChars="200"/>
        <w:rPr>
          <w:rFonts w:hint="eastAsia"/>
          <w:sz w:val="28"/>
          <w:szCs w:val="28"/>
          <w:lang w:eastAsia="zh-CN"/>
        </w:rPr>
      </w:pPr>
      <w:r>
        <w:rPr>
          <w:rFonts w:hint="eastAsia"/>
          <w:sz w:val="28"/>
          <w:szCs w:val="28"/>
        </w:rPr>
        <w:t>采购预算（限价）：</w:t>
      </w:r>
      <w:r>
        <w:rPr>
          <w:rFonts w:hint="eastAsia"/>
          <w:sz w:val="28"/>
          <w:szCs w:val="28"/>
          <w:lang w:val="en-US" w:eastAsia="zh-CN"/>
        </w:rPr>
        <w:t>25</w:t>
      </w:r>
      <w:r>
        <w:rPr>
          <w:rFonts w:hint="eastAsia"/>
          <w:sz w:val="28"/>
          <w:szCs w:val="28"/>
        </w:rPr>
        <w:t>万元</w:t>
      </w:r>
      <w:r>
        <w:rPr>
          <w:rFonts w:hint="eastAsia"/>
          <w:sz w:val="28"/>
          <w:szCs w:val="28"/>
          <w:lang w:eastAsia="zh-CN"/>
        </w:rPr>
        <w:t>；</w:t>
      </w:r>
    </w:p>
    <w:p>
      <w:pPr>
        <w:numPr>
          <w:ilvl w:val="0"/>
          <w:numId w:val="2"/>
        </w:numPr>
        <w:ind w:left="0" w:leftChars="0" w:firstLine="560" w:firstLineChars="200"/>
        <w:rPr>
          <w:rFonts w:hint="eastAsia"/>
          <w:sz w:val="28"/>
          <w:szCs w:val="28"/>
          <w:lang w:eastAsia="zh-CN"/>
        </w:rPr>
      </w:pPr>
      <w:r>
        <w:rPr>
          <w:rFonts w:hint="eastAsia"/>
          <w:sz w:val="28"/>
          <w:szCs w:val="28"/>
          <w:lang w:val="en-US" w:eastAsia="zh-CN"/>
        </w:rPr>
        <w:t>评审办法：综合评分法。</w:t>
      </w:r>
    </w:p>
    <w:p>
      <w:pPr>
        <w:rPr>
          <w:sz w:val="28"/>
          <w:szCs w:val="28"/>
        </w:rPr>
      </w:pPr>
      <w:r>
        <w:rPr>
          <w:rFonts w:hint="eastAsia"/>
          <w:sz w:val="28"/>
          <w:szCs w:val="28"/>
        </w:rPr>
        <w:t>二、供货商资质要求</w:t>
      </w:r>
    </w:p>
    <w:p>
      <w:pPr>
        <w:ind w:firstLine="560" w:firstLineChars="200"/>
        <w:rPr>
          <w:rFonts w:hint="eastAsia" w:eastAsiaTheme="minorEastAsia"/>
          <w:sz w:val="28"/>
          <w:szCs w:val="28"/>
          <w:lang w:eastAsia="zh-CN"/>
        </w:rPr>
      </w:pPr>
      <w:r>
        <w:rPr>
          <w:rFonts w:hint="eastAsia"/>
          <w:sz w:val="28"/>
          <w:szCs w:val="28"/>
        </w:rPr>
        <w:t>1.满足《中华人民共和国政府采购法》第二十二条规定</w:t>
      </w:r>
      <w:r>
        <w:rPr>
          <w:rFonts w:hint="eastAsia"/>
          <w:sz w:val="28"/>
          <w:szCs w:val="28"/>
          <w:lang w:eastAsia="zh-CN"/>
        </w:rPr>
        <w:t>；</w:t>
      </w:r>
    </w:p>
    <w:p>
      <w:pPr>
        <w:numPr>
          <w:ilvl w:val="0"/>
          <w:numId w:val="0"/>
        </w:numPr>
        <w:ind w:firstLine="560" w:firstLineChars="200"/>
        <w:jc w:val="left"/>
        <w:rPr>
          <w:sz w:val="28"/>
          <w:szCs w:val="28"/>
        </w:rPr>
      </w:pPr>
      <w:r>
        <w:rPr>
          <w:rFonts w:hint="eastAsia"/>
          <w:sz w:val="28"/>
          <w:szCs w:val="28"/>
          <w:lang w:val="en-US" w:eastAsia="zh-CN"/>
        </w:rPr>
        <w:t>2.</w:t>
      </w:r>
      <w:r>
        <w:rPr>
          <w:rFonts w:hint="eastAsia"/>
          <w:sz w:val="28"/>
          <w:szCs w:val="28"/>
        </w:rPr>
        <w:t>具有独立法人资格，具有有效的企业法人营业执照；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供应商业绩要求：自2020年1月1日以来(以合同签订时间为准),供应商具有单个合同工程投资额(工程总投资或工程费用)不少于9000万元的公共建筑(含土方工程、道路工程、景观工程、建筑配套工程和水电工程)施工跟踪审计或全过程工程造价咨询业绩；</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4.供应商未被马鞍山市及其所辖县(市)、区(开发区)公共资源交易监督管理部门记不良行为记录的；或被记不良行为记录(以公布日期为准),但同时符合下列情形的：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(1)开标日前(含当日)6个月内记分累计未满10分的；</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 xml:space="preserve">(2)开标日前(含当日)12个月内记分累计未满15分的； </w:t>
      </w:r>
    </w:p>
    <w:p>
      <w:pPr>
        <w:numPr>
          <w:ilvl w:val="0"/>
          <w:numId w:val="0"/>
        </w:numPr>
        <w:ind w:firstLine="560" w:firstLineChars="200"/>
        <w:jc w:val="left"/>
        <w:rPr>
          <w:rFonts w:hint="eastAsia"/>
          <w:sz w:val="28"/>
          <w:szCs w:val="28"/>
          <w:lang w:val="en-US" w:eastAsia="zh-CN"/>
        </w:rPr>
      </w:pPr>
      <w:r>
        <w:rPr>
          <w:rFonts w:hint="eastAsia"/>
          <w:sz w:val="28"/>
          <w:szCs w:val="28"/>
          <w:lang w:val="en-US" w:eastAsia="zh-CN"/>
        </w:rPr>
        <w:t>(3)开标日前(含当日)18个月内记分累计未满20分的；</w:t>
      </w:r>
    </w:p>
    <w:p>
      <w:pPr>
        <w:numPr>
          <w:ilvl w:val="0"/>
          <w:numId w:val="0"/>
        </w:numPr>
        <w:ind w:firstLine="560" w:firstLineChars="200"/>
        <w:jc w:val="left"/>
        <w:rPr>
          <w:color w:val="FF0000"/>
          <w:sz w:val="28"/>
          <w:szCs w:val="28"/>
        </w:rPr>
      </w:pPr>
      <w:r>
        <w:rPr>
          <w:rFonts w:hint="eastAsia"/>
          <w:sz w:val="28"/>
          <w:szCs w:val="28"/>
          <w:lang w:val="en-US" w:eastAsia="zh-CN"/>
        </w:rPr>
        <w:t>(4)开标日前(含当日)24个月内记分累计未满25分的。</w:t>
      </w:r>
      <w:r>
        <w:rPr>
          <w:rFonts w:hint="eastAsia" w:ascii="宋体" w:hAnsi="宋体" w:eastAsia="宋体" w:cs="宋体"/>
          <w:color w:val="FF0000"/>
          <w:kern w:val="0"/>
          <w:szCs w:val="21"/>
        </w:rPr>
        <w:t> </w:t>
      </w:r>
    </w:p>
    <w:p>
      <w:pPr>
        <w:numPr>
          <w:ilvl w:val="0"/>
          <w:numId w:val="0"/>
        </w:numPr>
        <w:ind w:firstLine="560" w:firstLineChars="200"/>
        <w:jc w:val="left"/>
        <w:rPr>
          <w:rFonts w:hint="eastAsia"/>
          <w:sz w:val="28"/>
          <w:szCs w:val="28"/>
        </w:rPr>
      </w:pPr>
      <w:r>
        <w:rPr>
          <w:rFonts w:hint="eastAsia"/>
          <w:sz w:val="28"/>
          <w:szCs w:val="28"/>
          <w:lang w:val="en-US" w:eastAsia="zh-CN"/>
        </w:rPr>
        <w:t>5.</w:t>
      </w:r>
      <w:r>
        <w:rPr>
          <w:rFonts w:hint="eastAsia"/>
          <w:sz w:val="28"/>
          <w:szCs w:val="28"/>
        </w:rPr>
        <w:t>本次比</w:t>
      </w:r>
      <w:r>
        <w:rPr>
          <w:rFonts w:hint="eastAsia"/>
          <w:sz w:val="28"/>
          <w:szCs w:val="28"/>
          <w:lang w:val="en-US" w:eastAsia="zh-CN"/>
        </w:rPr>
        <w:t>选</w:t>
      </w:r>
      <w:r>
        <w:rPr>
          <w:rFonts w:hint="eastAsia"/>
          <w:sz w:val="28"/>
          <w:szCs w:val="28"/>
        </w:rPr>
        <w:t>不接受联合体。</w:t>
      </w:r>
    </w:p>
    <w:p>
      <w:pPr>
        <w:rPr>
          <w:sz w:val="28"/>
          <w:szCs w:val="28"/>
        </w:rPr>
      </w:pPr>
      <w:r>
        <w:rPr>
          <w:rFonts w:hint="eastAsia"/>
          <w:sz w:val="28"/>
          <w:szCs w:val="28"/>
        </w:rPr>
        <w:t>三、报名：</w:t>
      </w:r>
    </w:p>
    <w:p>
      <w:pPr>
        <w:ind w:firstLine="560" w:firstLineChars="200"/>
        <w:rPr>
          <w:rFonts w:hint="eastAsia" w:eastAsiaTheme="minorEastAsia"/>
          <w:sz w:val="28"/>
          <w:szCs w:val="28"/>
          <w:lang w:eastAsia="zh-CN"/>
        </w:rPr>
      </w:pPr>
      <w:r>
        <w:rPr>
          <w:rFonts w:hint="eastAsia"/>
          <w:sz w:val="28"/>
          <w:szCs w:val="28"/>
        </w:rPr>
        <w:t>1.报名时间：自公告之日起至2023年</w:t>
      </w:r>
      <w:r>
        <w:rPr>
          <w:rFonts w:hint="eastAsia"/>
          <w:sz w:val="28"/>
          <w:szCs w:val="28"/>
          <w:lang w:val="en-US" w:eastAsia="zh-CN"/>
        </w:rPr>
        <w:t>12</w:t>
      </w:r>
      <w:r>
        <w:rPr>
          <w:rFonts w:hint="eastAsia"/>
          <w:sz w:val="28"/>
          <w:szCs w:val="28"/>
        </w:rPr>
        <w:t>月</w:t>
      </w:r>
      <w:r>
        <w:rPr>
          <w:rFonts w:hint="eastAsia"/>
          <w:sz w:val="28"/>
          <w:szCs w:val="28"/>
          <w:lang w:val="en-US" w:eastAsia="zh-CN"/>
        </w:rPr>
        <w:t>15</w:t>
      </w:r>
      <w:r>
        <w:rPr>
          <w:rFonts w:hint="eastAsia"/>
          <w:sz w:val="28"/>
          <w:szCs w:val="28"/>
        </w:rPr>
        <w:t>日</w:t>
      </w:r>
      <w:r>
        <w:rPr>
          <w:rFonts w:hint="eastAsia"/>
          <w:sz w:val="28"/>
          <w:szCs w:val="28"/>
          <w:lang w:val="en-US" w:eastAsia="zh-CN"/>
        </w:rPr>
        <w:t>17</w:t>
      </w:r>
      <w:r>
        <w:rPr>
          <w:rFonts w:hint="eastAsia"/>
          <w:sz w:val="28"/>
          <w:szCs w:val="28"/>
        </w:rPr>
        <w:t>点</w:t>
      </w:r>
      <w:r>
        <w:rPr>
          <w:rFonts w:hint="eastAsia"/>
          <w:sz w:val="28"/>
          <w:szCs w:val="28"/>
          <w:lang w:val="en-US" w:eastAsia="zh-CN"/>
        </w:rPr>
        <w:t>00</w:t>
      </w:r>
      <w:r>
        <w:rPr>
          <w:rFonts w:hint="eastAsia"/>
          <w:sz w:val="28"/>
          <w:szCs w:val="28"/>
        </w:rPr>
        <w:t>分（北京时间）</w:t>
      </w:r>
      <w:r>
        <w:rPr>
          <w:rFonts w:hint="eastAsia"/>
          <w:sz w:val="28"/>
          <w:szCs w:val="28"/>
          <w:lang w:eastAsia="zh-CN"/>
        </w:rPr>
        <w:t>；</w:t>
      </w:r>
    </w:p>
    <w:p>
      <w:pPr>
        <w:ind w:firstLine="560" w:firstLineChars="200"/>
        <w:rPr>
          <w:rFonts w:hint="eastAsia" w:eastAsiaTheme="minorEastAsia"/>
          <w:sz w:val="28"/>
          <w:szCs w:val="28"/>
          <w:lang w:eastAsia="zh-CN"/>
        </w:rPr>
      </w:pPr>
      <w:r>
        <w:rPr>
          <w:sz w:val="28"/>
          <w:szCs w:val="28"/>
        </w:rPr>
        <w:t>2</w:t>
      </w:r>
      <w:r>
        <w:rPr>
          <w:rFonts w:hint="eastAsia"/>
          <w:sz w:val="28"/>
          <w:szCs w:val="28"/>
        </w:rPr>
        <w:t>.报名方式：请有意向供应商</w:t>
      </w:r>
      <w:r>
        <w:rPr>
          <w:rFonts w:hint="eastAsia"/>
          <w:sz w:val="28"/>
          <w:szCs w:val="28"/>
          <w:lang w:val="en-US" w:eastAsia="zh-CN"/>
        </w:rPr>
        <w:t>将</w:t>
      </w:r>
      <w:r>
        <w:rPr>
          <w:rFonts w:hint="eastAsia"/>
          <w:sz w:val="28"/>
          <w:szCs w:val="28"/>
        </w:rPr>
        <w:t>报名资料编辑成电子版本（PDF格式），发送至电子邮箱：</w:t>
      </w:r>
      <w:r>
        <w:rPr>
          <w:rFonts w:hint="eastAsia"/>
          <w:sz w:val="28"/>
          <w:szCs w:val="28"/>
          <w:lang w:val="en-US" w:eastAsia="zh-CN"/>
        </w:rPr>
        <w:t>hzkg202104</w:t>
      </w:r>
      <w:r>
        <w:rPr>
          <w:rFonts w:hint="eastAsia"/>
          <w:sz w:val="28"/>
          <w:szCs w:val="28"/>
        </w:rPr>
        <w:t>@163.com，邮件主题：</w:t>
      </w:r>
      <w:r>
        <w:rPr>
          <w:rFonts w:hint="eastAsia"/>
          <w:sz w:val="28"/>
          <w:szCs w:val="28"/>
          <w:lang w:val="en-US" w:eastAsia="zh-CN"/>
        </w:rPr>
        <w:t>和州之心跟踪审计项目+</w:t>
      </w:r>
      <w:r>
        <w:rPr>
          <w:rFonts w:hint="eastAsia"/>
          <w:sz w:val="28"/>
          <w:szCs w:val="28"/>
        </w:rPr>
        <w:t>供应商名称（公司名称）+手机号码</w:t>
      </w:r>
      <w:r>
        <w:rPr>
          <w:rFonts w:hint="eastAsia"/>
          <w:sz w:val="28"/>
          <w:szCs w:val="28"/>
          <w:lang w:eastAsia="zh-CN"/>
        </w:rPr>
        <w:t>；</w:t>
      </w:r>
    </w:p>
    <w:p>
      <w:pPr>
        <w:ind w:firstLine="560" w:firstLineChars="200"/>
        <w:rPr>
          <w:sz w:val="28"/>
          <w:szCs w:val="28"/>
        </w:rPr>
      </w:pPr>
      <w:r>
        <w:rPr>
          <w:sz w:val="28"/>
          <w:szCs w:val="28"/>
        </w:rPr>
        <w:t>3</w:t>
      </w:r>
      <w:r>
        <w:rPr>
          <w:rFonts w:hint="eastAsia"/>
          <w:sz w:val="28"/>
          <w:szCs w:val="28"/>
        </w:rPr>
        <w:t>.报名资料：包含以下但不限于：</w:t>
      </w:r>
    </w:p>
    <w:p>
      <w:pPr>
        <w:ind w:firstLine="560" w:firstLineChars="200"/>
        <w:rPr>
          <w:sz w:val="28"/>
          <w:szCs w:val="28"/>
        </w:rPr>
      </w:pPr>
      <w:r>
        <w:rPr>
          <w:rFonts w:hint="eastAsia"/>
          <w:sz w:val="28"/>
          <w:szCs w:val="28"/>
        </w:rPr>
        <w:t>（1）合格有效的营业执照副本复印件（原件备查）；</w:t>
      </w:r>
    </w:p>
    <w:p>
      <w:pPr>
        <w:ind w:firstLine="560" w:firstLineChars="200"/>
        <w:rPr>
          <w:rFonts w:hint="eastAsia"/>
          <w:sz w:val="28"/>
          <w:szCs w:val="28"/>
        </w:rPr>
      </w:pPr>
      <w:r>
        <w:rPr>
          <w:rFonts w:hint="eastAsia"/>
          <w:sz w:val="28"/>
          <w:szCs w:val="28"/>
        </w:rPr>
        <w:t>（2）法定代表人身份证复印件、法定代表人的授权委托书、被授权人的身份证复印件；</w:t>
      </w:r>
    </w:p>
    <w:p>
      <w:pPr>
        <w:ind w:firstLine="560" w:firstLineChars="200"/>
      </w:pPr>
      <w:r>
        <w:rPr>
          <w:rFonts w:hint="eastAsia"/>
          <w:sz w:val="28"/>
          <w:szCs w:val="28"/>
        </w:rPr>
        <w:t>（</w:t>
      </w:r>
      <w:r>
        <w:rPr>
          <w:rFonts w:hint="eastAsia"/>
          <w:sz w:val="28"/>
          <w:szCs w:val="28"/>
          <w:lang w:val="en-US" w:eastAsia="zh-CN"/>
        </w:rPr>
        <w:t>3</w:t>
      </w:r>
      <w:r>
        <w:rPr>
          <w:rFonts w:hint="eastAsia"/>
          <w:sz w:val="28"/>
          <w:szCs w:val="28"/>
        </w:rPr>
        <w:t>）以上</w:t>
      </w:r>
      <w:r>
        <w:rPr>
          <w:rFonts w:hint="eastAsia"/>
          <w:sz w:val="28"/>
          <w:szCs w:val="28"/>
          <w:lang w:val="en-US" w:eastAsia="zh-CN"/>
        </w:rPr>
        <w:t>材料</w:t>
      </w:r>
      <w:r>
        <w:rPr>
          <w:rFonts w:hint="eastAsia"/>
          <w:sz w:val="28"/>
          <w:szCs w:val="28"/>
        </w:rPr>
        <w:t>复印件须加盖单位公章后方为有效。提供的文件必须真实、有效。</w:t>
      </w:r>
    </w:p>
    <w:p>
      <w:pPr>
        <w:rPr>
          <w:sz w:val="28"/>
          <w:szCs w:val="28"/>
        </w:rPr>
      </w:pPr>
      <w:r>
        <w:rPr>
          <w:rFonts w:hint="eastAsia"/>
          <w:sz w:val="28"/>
          <w:szCs w:val="28"/>
          <w:lang w:val="en-US" w:eastAsia="zh-CN"/>
        </w:rPr>
        <w:t>四</w:t>
      </w:r>
      <w:r>
        <w:rPr>
          <w:rFonts w:hint="eastAsia"/>
          <w:sz w:val="28"/>
          <w:szCs w:val="28"/>
        </w:rPr>
        <w:t>、</w:t>
      </w:r>
      <w:r>
        <w:rPr>
          <w:rFonts w:hint="eastAsia"/>
          <w:sz w:val="28"/>
          <w:szCs w:val="28"/>
          <w:lang w:val="en-US" w:eastAsia="zh-CN"/>
        </w:rPr>
        <w:t>文件获取</w:t>
      </w:r>
    </w:p>
    <w:p>
      <w:pPr>
        <w:ind w:firstLine="560" w:firstLineChars="200"/>
        <w:rPr>
          <w:rFonts w:hint="eastAsia" w:eastAsiaTheme="minorEastAsia"/>
          <w:sz w:val="28"/>
          <w:szCs w:val="28"/>
          <w:lang w:eastAsia="zh-CN"/>
        </w:rPr>
      </w:pPr>
      <w:r>
        <w:rPr>
          <w:rFonts w:hint="eastAsia"/>
          <w:sz w:val="28"/>
          <w:szCs w:val="28"/>
          <w:lang w:val="en-US" w:eastAsia="zh-CN"/>
        </w:rPr>
        <w:t>1.</w:t>
      </w:r>
      <w:r>
        <w:rPr>
          <w:rFonts w:hint="eastAsia"/>
          <w:sz w:val="28"/>
          <w:szCs w:val="28"/>
        </w:rPr>
        <w:t>时间：</w:t>
      </w:r>
      <w:r>
        <w:rPr>
          <w:rFonts w:hint="eastAsia"/>
          <w:sz w:val="28"/>
          <w:szCs w:val="28"/>
          <w:lang w:val="en-US" w:eastAsia="zh-CN"/>
        </w:rPr>
        <w:t>自公告之日起</w:t>
      </w:r>
      <w:r>
        <w:rPr>
          <w:rFonts w:hint="eastAsia"/>
          <w:sz w:val="28"/>
          <w:szCs w:val="28"/>
        </w:rPr>
        <w:t>至2023年</w:t>
      </w:r>
      <w:r>
        <w:rPr>
          <w:rFonts w:hint="eastAsia"/>
          <w:sz w:val="28"/>
          <w:szCs w:val="28"/>
          <w:lang w:val="en-US" w:eastAsia="zh-CN"/>
        </w:rPr>
        <w:t>12</w:t>
      </w:r>
      <w:r>
        <w:rPr>
          <w:rFonts w:hint="eastAsia"/>
          <w:sz w:val="28"/>
          <w:szCs w:val="28"/>
        </w:rPr>
        <w:t>月</w:t>
      </w:r>
      <w:r>
        <w:rPr>
          <w:rFonts w:hint="eastAsia"/>
          <w:sz w:val="28"/>
          <w:szCs w:val="28"/>
          <w:lang w:val="en-US" w:eastAsia="zh-CN"/>
        </w:rPr>
        <w:t>18</w:t>
      </w:r>
      <w:r>
        <w:rPr>
          <w:rFonts w:hint="eastAsia"/>
          <w:sz w:val="28"/>
          <w:szCs w:val="28"/>
        </w:rPr>
        <w:t>日</w:t>
      </w:r>
      <w:r>
        <w:rPr>
          <w:rFonts w:hint="eastAsia"/>
          <w:sz w:val="28"/>
          <w:szCs w:val="28"/>
          <w:lang w:val="en-US" w:eastAsia="zh-CN"/>
        </w:rPr>
        <w:t>09</w:t>
      </w:r>
      <w:r>
        <w:rPr>
          <w:rFonts w:hint="eastAsia"/>
          <w:sz w:val="28"/>
          <w:szCs w:val="28"/>
        </w:rPr>
        <w:t>点00分（北京时间）</w:t>
      </w:r>
      <w:r>
        <w:rPr>
          <w:rFonts w:hint="eastAsia"/>
          <w:sz w:val="28"/>
          <w:szCs w:val="28"/>
          <w:lang w:eastAsia="zh-CN"/>
        </w:rPr>
        <w:t>；</w:t>
      </w:r>
    </w:p>
    <w:p>
      <w:pPr>
        <w:ind w:firstLine="560" w:firstLineChars="200"/>
        <w:rPr>
          <w:rFonts w:hint="eastAsia"/>
          <w:sz w:val="28"/>
          <w:szCs w:val="28"/>
          <w:lang w:eastAsia="zh-CN"/>
        </w:rPr>
      </w:pPr>
      <w:r>
        <w:rPr>
          <w:rFonts w:hint="eastAsia"/>
          <w:sz w:val="28"/>
          <w:szCs w:val="28"/>
          <w:lang w:val="en-US" w:eastAsia="zh-CN"/>
        </w:rPr>
        <w:t>2.</w:t>
      </w:r>
      <w:r>
        <w:rPr>
          <w:rFonts w:hint="eastAsia"/>
          <w:sz w:val="28"/>
          <w:szCs w:val="28"/>
        </w:rPr>
        <w:t>地点：安徽和州控股集团有限公司官网</w:t>
      </w:r>
      <w:r>
        <w:rPr>
          <w:rFonts w:hint="eastAsia"/>
          <w:sz w:val="28"/>
          <w:szCs w:val="28"/>
          <w:lang w:eastAsia="zh-CN"/>
        </w:rPr>
        <w:t>；</w:t>
      </w:r>
    </w:p>
    <w:p>
      <w:pPr>
        <w:ind w:firstLine="560" w:firstLineChars="200"/>
        <w:rPr>
          <w:rFonts w:hint="eastAsia"/>
          <w:sz w:val="28"/>
          <w:szCs w:val="28"/>
        </w:rPr>
      </w:pPr>
      <w:r>
        <w:rPr>
          <w:rFonts w:hint="eastAsia"/>
          <w:sz w:val="28"/>
          <w:szCs w:val="28"/>
          <w:lang w:val="en-US" w:eastAsia="zh-CN"/>
        </w:rPr>
        <w:t>3.</w:t>
      </w:r>
      <w:r>
        <w:rPr>
          <w:rFonts w:hint="eastAsia"/>
          <w:sz w:val="28"/>
          <w:szCs w:val="28"/>
        </w:rPr>
        <w:t>方式：进入安徽和州控股集团有限公司官网（https://www.ahhzkg.com）获取电子版采购文件，不再发出纸质文件。</w:t>
      </w:r>
    </w:p>
    <w:p>
      <w:pPr>
        <w:ind w:firstLine="560" w:firstLineChars="200"/>
        <w:rPr>
          <w:rFonts w:hint="eastAsia"/>
          <w:sz w:val="28"/>
          <w:szCs w:val="28"/>
        </w:rPr>
      </w:pPr>
      <w:r>
        <w:rPr>
          <w:rFonts w:hint="eastAsia"/>
          <w:sz w:val="28"/>
          <w:szCs w:val="28"/>
        </w:rPr>
        <w:t>售价：0元</w:t>
      </w:r>
    </w:p>
    <w:p>
      <w:pPr>
        <w:rPr>
          <w:rFonts w:hint="eastAsia"/>
          <w:sz w:val="28"/>
          <w:szCs w:val="28"/>
        </w:rPr>
      </w:pPr>
      <w:r>
        <w:rPr>
          <w:rFonts w:hint="eastAsia"/>
          <w:sz w:val="28"/>
          <w:szCs w:val="28"/>
          <w:lang w:val="en-US" w:eastAsia="zh-CN"/>
        </w:rPr>
        <w:t>五</w:t>
      </w:r>
      <w:r>
        <w:rPr>
          <w:rFonts w:hint="eastAsia"/>
          <w:sz w:val="28"/>
          <w:szCs w:val="28"/>
        </w:rPr>
        <w:t>、响应文件提交</w:t>
      </w:r>
    </w:p>
    <w:p>
      <w:pPr>
        <w:ind w:firstLine="560" w:firstLineChars="200"/>
        <w:rPr>
          <w:rFonts w:hint="eastAsia"/>
          <w:sz w:val="28"/>
          <w:szCs w:val="28"/>
        </w:rPr>
      </w:pPr>
      <w:r>
        <w:rPr>
          <w:rFonts w:hint="eastAsia"/>
          <w:sz w:val="28"/>
          <w:szCs w:val="28"/>
        </w:rPr>
        <w:t>1</w:t>
      </w:r>
      <w:r>
        <w:rPr>
          <w:rFonts w:hint="eastAsia"/>
          <w:sz w:val="28"/>
          <w:szCs w:val="28"/>
          <w:lang w:eastAsia="zh-CN"/>
        </w:rPr>
        <w:t>.</w:t>
      </w:r>
      <w:r>
        <w:rPr>
          <w:rFonts w:hint="eastAsia"/>
          <w:sz w:val="28"/>
          <w:szCs w:val="28"/>
        </w:rPr>
        <w:t>截止时间：2023年</w:t>
      </w:r>
      <w:r>
        <w:rPr>
          <w:rFonts w:hint="eastAsia"/>
          <w:sz w:val="28"/>
          <w:szCs w:val="28"/>
          <w:lang w:val="en-US" w:eastAsia="zh-CN"/>
        </w:rPr>
        <w:t>12</w:t>
      </w:r>
      <w:r>
        <w:rPr>
          <w:rFonts w:hint="eastAsia"/>
          <w:sz w:val="28"/>
          <w:szCs w:val="28"/>
        </w:rPr>
        <w:t>月</w:t>
      </w:r>
      <w:r>
        <w:rPr>
          <w:rFonts w:hint="eastAsia"/>
          <w:sz w:val="28"/>
          <w:szCs w:val="28"/>
          <w:lang w:val="en-US" w:eastAsia="zh-CN"/>
        </w:rPr>
        <w:t>18</w:t>
      </w:r>
      <w:r>
        <w:rPr>
          <w:rFonts w:hint="eastAsia"/>
          <w:sz w:val="28"/>
          <w:szCs w:val="28"/>
        </w:rPr>
        <w:t>日</w:t>
      </w:r>
      <w:r>
        <w:rPr>
          <w:rFonts w:hint="eastAsia"/>
          <w:sz w:val="28"/>
          <w:szCs w:val="28"/>
          <w:lang w:val="en-US" w:eastAsia="zh-CN"/>
        </w:rPr>
        <w:t>09</w:t>
      </w:r>
      <w:r>
        <w:rPr>
          <w:rFonts w:hint="eastAsia"/>
          <w:sz w:val="28"/>
          <w:szCs w:val="28"/>
        </w:rPr>
        <w:t>时00分（北京时间）；</w:t>
      </w:r>
    </w:p>
    <w:p>
      <w:pPr>
        <w:ind w:firstLine="560" w:firstLineChars="200"/>
        <w:rPr>
          <w:rFonts w:hint="eastAsia"/>
          <w:sz w:val="28"/>
          <w:szCs w:val="28"/>
        </w:rPr>
      </w:pPr>
      <w:r>
        <w:rPr>
          <w:rFonts w:hint="eastAsia"/>
          <w:sz w:val="28"/>
          <w:szCs w:val="28"/>
        </w:rPr>
        <w:t>2</w:t>
      </w:r>
      <w:r>
        <w:rPr>
          <w:rFonts w:hint="eastAsia"/>
          <w:sz w:val="28"/>
          <w:szCs w:val="28"/>
          <w:lang w:eastAsia="zh-CN"/>
        </w:rPr>
        <w:t>.</w:t>
      </w:r>
      <w:r>
        <w:rPr>
          <w:rFonts w:hint="eastAsia"/>
          <w:sz w:val="28"/>
          <w:szCs w:val="28"/>
        </w:rPr>
        <w:t>递交方式（现场递交）：响应文件提交截止时间前，递交纸质版响应文件，纸质文件递交地址：安徽省马鞍山市和县历阳镇陋室西街328号文化大厦旁安徽和州控股集团有限公司；</w:t>
      </w:r>
    </w:p>
    <w:p>
      <w:pPr>
        <w:ind w:firstLine="560" w:firstLineChars="200"/>
        <w:rPr>
          <w:rFonts w:hint="default" w:eastAsiaTheme="minorEastAsia"/>
          <w:sz w:val="28"/>
          <w:szCs w:val="28"/>
          <w:lang w:val="en-US" w:eastAsia="zh-CN"/>
        </w:rPr>
      </w:pPr>
      <w:r>
        <w:rPr>
          <w:rFonts w:hint="eastAsia"/>
          <w:sz w:val="28"/>
          <w:szCs w:val="28"/>
        </w:rPr>
        <w:t>供应商提交的响应文件：响应文件正本1份，副本</w:t>
      </w:r>
      <w:r>
        <w:rPr>
          <w:rFonts w:hint="eastAsia"/>
          <w:sz w:val="28"/>
          <w:szCs w:val="28"/>
          <w:lang w:val="en-US" w:eastAsia="zh-CN"/>
        </w:rPr>
        <w:t>4</w:t>
      </w:r>
      <w:r>
        <w:rPr>
          <w:rFonts w:hint="eastAsia"/>
          <w:sz w:val="28"/>
          <w:szCs w:val="28"/>
        </w:rPr>
        <w:t>份</w:t>
      </w:r>
      <w:r>
        <w:rPr>
          <w:rFonts w:hint="eastAsia"/>
          <w:sz w:val="28"/>
          <w:szCs w:val="28"/>
          <w:lang w:eastAsia="zh-CN"/>
        </w:rPr>
        <w:t>，</w:t>
      </w:r>
      <w:r>
        <w:rPr>
          <w:rFonts w:hint="eastAsia"/>
          <w:sz w:val="28"/>
          <w:szCs w:val="28"/>
          <w:lang w:val="en-US" w:eastAsia="zh-CN"/>
        </w:rPr>
        <w:t>密封提交。</w:t>
      </w:r>
    </w:p>
    <w:p>
      <w:pPr>
        <w:rPr>
          <w:rFonts w:hint="eastAsia"/>
          <w:sz w:val="28"/>
          <w:szCs w:val="28"/>
        </w:rPr>
      </w:pPr>
      <w:r>
        <w:rPr>
          <w:rFonts w:hint="eastAsia"/>
          <w:sz w:val="28"/>
          <w:szCs w:val="28"/>
          <w:lang w:val="en-US" w:eastAsia="zh-CN"/>
        </w:rPr>
        <w:t>六</w:t>
      </w:r>
      <w:r>
        <w:rPr>
          <w:rFonts w:hint="eastAsia"/>
          <w:sz w:val="28"/>
          <w:szCs w:val="28"/>
        </w:rPr>
        <w:t>、开启</w:t>
      </w:r>
    </w:p>
    <w:p>
      <w:pPr>
        <w:ind w:firstLine="560" w:firstLineChars="200"/>
        <w:rPr>
          <w:sz w:val="28"/>
          <w:szCs w:val="28"/>
        </w:rPr>
      </w:pPr>
      <w:r>
        <w:rPr>
          <w:sz w:val="28"/>
          <w:szCs w:val="28"/>
        </w:rPr>
        <w:t>1</w:t>
      </w:r>
      <w:r>
        <w:rPr>
          <w:rFonts w:hint="eastAsia"/>
          <w:sz w:val="28"/>
          <w:szCs w:val="28"/>
        </w:rPr>
        <w:t>.时间：2023年</w:t>
      </w:r>
      <w:r>
        <w:rPr>
          <w:rFonts w:hint="eastAsia"/>
          <w:sz w:val="28"/>
          <w:szCs w:val="28"/>
          <w:lang w:val="en-US" w:eastAsia="zh-CN"/>
        </w:rPr>
        <w:t>12</w:t>
      </w:r>
      <w:r>
        <w:rPr>
          <w:rFonts w:hint="eastAsia"/>
          <w:sz w:val="28"/>
          <w:szCs w:val="28"/>
        </w:rPr>
        <w:t>月</w:t>
      </w:r>
      <w:r>
        <w:rPr>
          <w:rFonts w:hint="eastAsia"/>
          <w:sz w:val="28"/>
          <w:szCs w:val="28"/>
          <w:lang w:val="en-US" w:eastAsia="zh-CN"/>
        </w:rPr>
        <w:t>18</w:t>
      </w:r>
      <w:r>
        <w:rPr>
          <w:rFonts w:hint="eastAsia"/>
          <w:sz w:val="28"/>
          <w:szCs w:val="28"/>
        </w:rPr>
        <w:t>日</w:t>
      </w:r>
      <w:r>
        <w:rPr>
          <w:rFonts w:hint="eastAsia"/>
          <w:sz w:val="28"/>
          <w:szCs w:val="28"/>
          <w:lang w:val="en-US" w:eastAsia="zh-CN"/>
        </w:rPr>
        <w:t>09</w:t>
      </w:r>
      <w:r>
        <w:rPr>
          <w:rFonts w:hint="eastAsia"/>
          <w:sz w:val="28"/>
          <w:szCs w:val="28"/>
        </w:rPr>
        <w:t>点</w:t>
      </w:r>
      <w:r>
        <w:rPr>
          <w:rFonts w:hint="eastAsia"/>
          <w:sz w:val="28"/>
          <w:szCs w:val="28"/>
          <w:lang w:val="en-US" w:eastAsia="zh-CN"/>
        </w:rPr>
        <w:t>0</w:t>
      </w:r>
      <w:r>
        <w:rPr>
          <w:rFonts w:hint="eastAsia"/>
          <w:sz w:val="28"/>
          <w:szCs w:val="28"/>
        </w:rPr>
        <w:t>0分（北京时间）；</w:t>
      </w:r>
    </w:p>
    <w:p>
      <w:pPr>
        <w:ind w:firstLine="560" w:firstLineChars="200"/>
        <w:rPr>
          <w:rFonts w:hint="eastAsia" w:eastAsiaTheme="minorEastAsia"/>
          <w:sz w:val="28"/>
          <w:szCs w:val="28"/>
          <w:lang w:eastAsia="zh-CN"/>
        </w:rPr>
      </w:pPr>
      <w:r>
        <w:rPr>
          <w:sz w:val="28"/>
          <w:szCs w:val="28"/>
        </w:rPr>
        <w:t>2</w:t>
      </w:r>
      <w:r>
        <w:rPr>
          <w:rFonts w:hint="eastAsia"/>
          <w:sz w:val="28"/>
          <w:szCs w:val="28"/>
        </w:rPr>
        <w:t>.地点：安徽省马鞍山市和县历阳镇陋室西街328号文化大厦旁安徽和州控股集团有限公司</w:t>
      </w:r>
      <w:r>
        <w:rPr>
          <w:rFonts w:hint="eastAsia"/>
          <w:sz w:val="28"/>
          <w:szCs w:val="28"/>
          <w:lang w:eastAsia="zh-CN"/>
        </w:rPr>
        <w:t>。</w:t>
      </w:r>
    </w:p>
    <w:p>
      <w:pPr>
        <w:rPr>
          <w:sz w:val="28"/>
          <w:szCs w:val="28"/>
        </w:rPr>
      </w:pPr>
      <w:r>
        <w:rPr>
          <w:rFonts w:hint="eastAsia"/>
          <w:sz w:val="28"/>
          <w:szCs w:val="28"/>
          <w:lang w:val="en-US" w:eastAsia="zh-CN"/>
        </w:rPr>
        <w:t>七</w:t>
      </w:r>
      <w:r>
        <w:rPr>
          <w:rFonts w:hint="eastAsia"/>
          <w:sz w:val="28"/>
          <w:szCs w:val="28"/>
        </w:rPr>
        <w:t>、公示</w:t>
      </w:r>
    </w:p>
    <w:p>
      <w:pPr>
        <w:ind w:firstLine="560" w:firstLineChars="200"/>
        <w:rPr>
          <w:rFonts w:hint="eastAsia"/>
          <w:sz w:val="28"/>
          <w:szCs w:val="28"/>
        </w:rPr>
      </w:pPr>
      <w:r>
        <w:rPr>
          <w:rFonts w:hint="eastAsia"/>
          <w:sz w:val="28"/>
          <w:szCs w:val="28"/>
        </w:rPr>
        <w:t>结果将在和州控股集团官方网站上发布，网站名称：和州控股，网址:https://www.ahhzkg.com/</w:t>
      </w:r>
    </w:p>
    <w:p>
      <w:pPr>
        <w:rPr>
          <w:sz w:val="28"/>
          <w:szCs w:val="28"/>
        </w:rPr>
      </w:pPr>
      <w:r>
        <w:rPr>
          <w:rFonts w:hint="eastAsia"/>
          <w:sz w:val="28"/>
          <w:szCs w:val="28"/>
          <w:lang w:val="en-US" w:eastAsia="zh-CN"/>
        </w:rPr>
        <w:t>八</w:t>
      </w:r>
      <w:r>
        <w:rPr>
          <w:rFonts w:hint="eastAsia"/>
          <w:sz w:val="28"/>
          <w:szCs w:val="28"/>
        </w:rPr>
        <w:t>、联系方式</w:t>
      </w:r>
    </w:p>
    <w:p>
      <w:pPr>
        <w:ind w:firstLine="560" w:firstLineChars="200"/>
        <w:rPr>
          <w:sz w:val="28"/>
          <w:szCs w:val="28"/>
        </w:rPr>
      </w:pPr>
      <w:r>
        <w:rPr>
          <w:rFonts w:hint="eastAsia"/>
          <w:sz w:val="28"/>
          <w:szCs w:val="28"/>
        </w:rPr>
        <w:t>采购单位：</w:t>
      </w:r>
      <w:r>
        <w:rPr>
          <w:rFonts w:hint="eastAsia"/>
          <w:sz w:val="28"/>
          <w:szCs w:val="28"/>
          <w:lang w:val="en-US" w:eastAsia="zh-CN"/>
        </w:rPr>
        <w:t>和县和州置业</w:t>
      </w:r>
      <w:r>
        <w:rPr>
          <w:rFonts w:hint="eastAsia"/>
          <w:sz w:val="28"/>
          <w:szCs w:val="28"/>
        </w:rPr>
        <w:t>有限</w:t>
      </w:r>
      <w:r>
        <w:rPr>
          <w:rFonts w:hint="eastAsia"/>
          <w:sz w:val="28"/>
          <w:szCs w:val="28"/>
          <w:lang w:val="en-US" w:eastAsia="zh-CN"/>
        </w:rPr>
        <w:t>责任</w:t>
      </w:r>
      <w:r>
        <w:rPr>
          <w:rFonts w:hint="eastAsia"/>
          <w:sz w:val="28"/>
          <w:szCs w:val="28"/>
        </w:rPr>
        <w:t xml:space="preserve">公司   </w:t>
      </w:r>
    </w:p>
    <w:p>
      <w:pPr>
        <w:ind w:firstLine="560" w:firstLineChars="200"/>
        <w:rPr>
          <w:sz w:val="28"/>
          <w:szCs w:val="28"/>
        </w:rPr>
      </w:pPr>
      <w:r>
        <w:rPr>
          <w:rFonts w:hint="eastAsia"/>
          <w:sz w:val="28"/>
          <w:szCs w:val="28"/>
        </w:rPr>
        <w:t xml:space="preserve">地址：安徽省马鞍山市和县历阳镇陋室西街328号文化大厦旁安徽和州控股集团有限公司         </w:t>
      </w:r>
    </w:p>
    <w:p>
      <w:pPr>
        <w:ind w:firstLine="560" w:firstLineChars="200"/>
        <w:rPr>
          <w:sz w:val="28"/>
          <w:szCs w:val="28"/>
        </w:rPr>
      </w:pPr>
      <w:r>
        <w:rPr>
          <w:rFonts w:hint="eastAsia"/>
          <w:sz w:val="28"/>
          <w:szCs w:val="28"/>
        </w:rPr>
        <w:t>联系人：</w:t>
      </w:r>
      <w:r>
        <w:rPr>
          <w:rFonts w:hint="eastAsia"/>
          <w:sz w:val="28"/>
          <w:szCs w:val="28"/>
          <w:lang w:val="en-US" w:eastAsia="zh-CN"/>
        </w:rPr>
        <w:t xml:space="preserve">范文超   </w:t>
      </w:r>
      <w:r>
        <w:rPr>
          <w:rFonts w:hint="eastAsia"/>
          <w:sz w:val="28"/>
          <w:szCs w:val="28"/>
        </w:rPr>
        <w:t xml:space="preserve">钱锦              </w:t>
      </w:r>
    </w:p>
    <w:p>
      <w:pPr>
        <w:ind w:firstLine="560" w:firstLineChars="200"/>
        <w:rPr>
          <w:rFonts w:hint="default"/>
          <w:sz w:val="28"/>
          <w:szCs w:val="28"/>
          <w:lang w:val="en-US" w:eastAsia="zh-CN"/>
        </w:rPr>
      </w:pPr>
      <w:r>
        <w:rPr>
          <w:rFonts w:hint="eastAsia"/>
          <w:sz w:val="28"/>
          <w:szCs w:val="28"/>
        </w:rPr>
        <w:t>电话</w:t>
      </w:r>
      <w:r>
        <w:rPr>
          <w:rFonts w:hint="eastAsia"/>
          <w:sz w:val="28"/>
          <w:szCs w:val="28"/>
          <w:lang w:eastAsia="zh-CN"/>
        </w:rPr>
        <w:t>：</w:t>
      </w:r>
      <w:r>
        <w:rPr>
          <w:rFonts w:hint="eastAsia"/>
          <w:sz w:val="28"/>
          <w:szCs w:val="28"/>
          <w:lang w:val="en-US" w:eastAsia="zh-CN"/>
        </w:rPr>
        <w:t>05553868710    05553868703</w:t>
      </w:r>
    </w:p>
    <w:p>
      <w:pPr>
        <w:pStyle w:val="2"/>
        <w:rPr>
          <w:rFonts w:hint="eastAsia"/>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rPr>
          <w:b/>
          <w:bCs/>
          <w:sz w:val="32"/>
          <w:szCs w:val="32"/>
        </w:rPr>
      </w:pPr>
      <w:r>
        <w:rPr>
          <w:rFonts w:hint="eastAsia"/>
          <w:b/>
          <w:bCs/>
          <w:sz w:val="32"/>
          <w:szCs w:val="32"/>
        </w:rPr>
        <w:t>附件</w:t>
      </w:r>
      <w:r>
        <w:rPr>
          <w:rFonts w:hint="eastAsia"/>
          <w:b/>
          <w:bCs/>
          <w:sz w:val="32"/>
          <w:szCs w:val="32"/>
          <w:lang w:val="en-US" w:eastAsia="zh-CN"/>
        </w:rPr>
        <w:t>1</w:t>
      </w:r>
      <w:r>
        <w:rPr>
          <w:rFonts w:hint="eastAsia"/>
          <w:b/>
          <w:bCs/>
          <w:sz w:val="32"/>
          <w:szCs w:val="32"/>
        </w:rPr>
        <w:t>：</w:t>
      </w:r>
    </w:p>
    <w:p>
      <w:pPr>
        <w:jc w:val="center"/>
        <w:rPr>
          <w:b/>
          <w:bCs/>
          <w:sz w:val="44"/>
          <w:szCs w:val="44"/>
        </w:rPr>
      </w:pPr>
      <w:r>
        <w:rPr>
          <w:rFonts w:hint="eastAsia"/>
          <w:b/>
          <w:bCs/>
          <w:sz w:val="44"/>
          <w:szCs w:val="44"/>
        </w:rPr>
        <w:t>报价单</w:t>
      </w:r>
    </w:p>
    <w:tbl>
      <w:tblPr>
        <w:tblStyle w:val="10"/>
        <w:tblpPr w:leftFromText="180" w:rightFromText="180" w:vertAnchor="text" w:horzAnchor="page" w:tblpXSpec="center" w:tblpY="438"/>
        <w:tblOverlap w:val="never"/>
        <w:tblW w:w="8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6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857" w:type="dxa"/>
            <w:vAlign w:val="center"/>
          </w:tcPr>
          <w:p>
            <w:pPr>
              <w:jc w:val="center"/>
              <w:rPr>
                <w:sz w:val="28"/>
                <w:szCs w:val="28"/>
              </w:rPr>
            </w:pPr>
            <w:r>
              <w:rPr>
                <w:rFonts w:hint="eastAsia"/>
                <w:sz w:val="28"/>
                <w:szCs w:val="28"/>
              </w:rPr>
              <w:t>项目名称</w:t>
            </w:r>
          </w:p>
        </w:tc>
        <w:tc>
          <w:tcPr>
            <w:tcW w:w="6714" w:type="dxa"/>
            <w:vAlign w:val="center"/>
          </w:tcPr>
          <w:p>
            <w:pPr>
              <w:jc w:val="center"/>
              <w:rPr>
                <w:sz w:val="28"/>
                <w:szCs w:val="28"/>
              </w:rPr>
            </w:pPr>
            <w:r>
              <w:rPr>
                <w:rFonts w:hint="eastAsia"/>
                <w:sz w:val="28"/>
                <w:szCs w:val="28"/>
                <w:lang w:val="en-US" w:eastAsia="zh-CN"/>
              </w:rPr>
              <w:t>马鞍山长江西岸（和县段）生态保护与绿色发展项目——和州之心和海峡大道至太阳河口段（EPC总承包）跟踪审计项目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857" w:type="dxa"/>
            <w:vAlign w:val="center"/>
          </w:tcPr>
          <w:p>
            <w:pPr>
              <w:jc w:val="center"/>
              <w:rPr>
                <w:sz w:val="28"/>
                <w:szCs w:val="28"/>
              </w:rPr>
            </w:pPr>
            <w:r>
              <w:rPr>
                <w:rFonts w:hint="eastAsia"/>
                <w:sz w:val="28"/>
                <w:szCs w:val="28"/>
              </w:rPr>
              <w:t>供应商</w:t>
            </w:r>
          </w:p>
          <w:p>
            <w:pPr>
              <w:jc w:val="center"/>
              <w:rPr>
                <w:sz w:val="28"/>
                <w:szCs w:val="28"/>
              </w:rPr>
            </w:pPr>
            <w:r>
              <w:rPr>
                <w:rFonts w:hint="eastAsia"/>
                <w:sz w:val="28"/>
                <w:szCs w:val="28"/>
              </w:rPr>
              <w:t>名称</w:t>
            </w:r>
          </w:p>
        </w:tc>
        <w:tc>
          <w:tcPr>
            <w:tcW w:w="6714" w:type="dxa"/>
          </w:tcPr>
          <w:p>
            <w:pPr>
              <w:rPr>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857" w:type="dxa"/>
            <w:vAlign w:val="center"/>
          </w:tcPr>
          <w:p>
            <w:pPr>
              <w:jc w:val="center"/>
              <w:rPr>
                <w:sz w:val="28"/>
                <w:szCs w:val="28"/>
              </w:rPr>
            </w:pPr>
            <w:r>
              <w:rPr>
                <w:rFonts w:hint="eastAsia"/>
                <w:sz w:val="28"/>
                <w:szCs w:val="28"/>
              </w:rPr>
              <w:t>总报价</w:t>
            </w:r>
          </w:p>
          <w:p>
            <w:pPr>
              <w:jc w:val="center"/>
              <w:rPr>
                <w:sz w:val="28"/>
                <w:szCs w:val="28"/>
              </w:rPr>
            </w:pPr>
            <w:r>
              <w:rPr>
                <w:rFonts w:hint="eastAsia"/>
                <w:sz w:val="28"/>
                <w:szCs w:val="28"/>
              </w:rPr>
              <w:t>（人民币）</w:t>
            </w:r>
          </w:p>
        </w:tc>
        <w:tc>
          <w:tcPr>
            <w:tcW w:w="6714" w:type="dxa"/>
          </w:tcPr>
          <w:p>
            <w:pPr>
              <w:rPr>
                <w:sz w:val="28"/>
                <w:szCs w:val="28"/>
              </w:rPr>
            </w:pPr>
            <w:r>
              <w:rPr>
                <w:rFonts w:hint="eastAsia"/>
                <w:sz w:val="28"/>
                <w:szCs w:val="28"/>
              </w:rPr>
              <w:t>总报价：</w:t>
            </w:r>
          </w:p>
          <w:p>
            <w:pPr>
              <w:rPr>
                <w:sz w:val="28"/>
                <w:szCs w:val="28"/>
              </w:rPr>
            </w:pPr>
            <w:r>
              <w:rPr>
                <w:rFonts w:hint="eastAsia"/>
                <w:sz w:val="28"/>
                <w:szCs w:val="28"/>
              </w:rPr>
              <w:t>大写：</w:t>
            </w:r>
          </w:p>
          <w:p>
            <w:pPr>
              <w:rPr>
                <w:sz w:val="28"/>
                <w:szCs w:val="28"/>
              </w:rPr>
            </w:pPr>
            <w:r>
              <w:rPr>
                <w:rFonts w:hint="eastAsia"/>
                <w:sz w:val="28"/>
                <w:szCs w:val="28"/>
              </w:rPr>
              <w:t>小写：</w:t>
            </w:r>
          </w:p>
        </w:tc>
      </w:tr>
    </w:tbl>
    <w:p>
      <w:pPr>
        <w:ind w:firstLine="560" w:firstLineChars="200"/>
        <w:rPr>
          <w:sz w:val="28"/>
          <w:szCs w:val="28"/>
        </w:rPr>
      </w:pPr>
    </w:p>
    <w:p>
      <w:pPr>
        <w:ind w:firstLine="560" w:firstLineChars="200"/>
        <w:rPr>
          <w:sz w:val="28"/>
          <w:szCs w:val="28"/>
        </w:rPr>
      </w:pPr>
      <w:r>
        <w:rPr>
          <w:rFonts w:hint="eastAsia"/>
          <w:sz w:val="28"/>
          <w:szCs w:val="28"/>
        </w:rPr>
        <w:t>若贵单位能选择我作为此次</w:t>
      </w:r>
      <w:r>
        <w:rPr>
          <w:rFonts w:hint="eastAsia"/>
          <w:sz w:val="28"/>
          <w:szCs w:val="28"/>
          <w:lang w:val="en-US" w:eastAsia="zh-CN"/>
        </w:rPr>
        <w:t>马鞍山长江西岸（和县段）生态保护与绿色发展项目——和州之心和海峡大道至太阳河口段（EPC总承包）跟踪审计项目</w:t>
      </w:r>
      <w:r>
        <w:rPr>
          <w:rFonts w:hint="eastAsia"/>
          <w:sz w:val="28"/>
          <w:szCs w:val="28"/>
        </w:rPr>
        <w:t>的供应商，我单位将承诺会按照公告的要求如期提供</w:t>
      </w:r>
      <w:r>
        <w:rPr>
          <w:rFonts w:hint="eastAsia"/>
          <w:sz w:val="28"/>
          <w:szCs w:val="28"/>
          <w:lang w:val="en-US" w:eastAsia="zh-CN"/>
        </w:rPr>
        <w:t>跟踪审计业务。</w:t>
      </w:r>
    </w:p>
    <w:p>
      <w:pPr>
        <w:ind w:firstLine="2800" w:firstLineChars="1000"/>
        <w:rPr>
          <w:sz w:val="28"/>
          <w:szCs w:val="28"/>
        </w:rPr>
      </w:pPr>
    </w:p>
    <w:p>
      <w:pPr>
        <w:ind w:firstLine="2800" w:firstLineChars="1000"/>
        <w:rPr>
          <w:sz w:val="28"/>
          <w:szCs w:val="28"/>
        </w:rPr>
      </w:pPr>
      <w:r>
        <w:rPr>
          <w:rFonts w:hint="eastAsia"/>
          <w:sz w:val="28"/>
          <w:szCs w:val="28"/>
        </w:rPr>
        <w:t>供应商（盖章）：</w:t>
      </w:r>
    </w:p>
    <w:p>
      <w:pPr>
        <w:jc w:val="center"/>
        <w:rPr>
          <w:sz w:val="28"/>
          <w:szCs w:val="28"/>
        </w:rPr>
      </w:pPr>
      <w:r>
        <w:rPr>
          <w:rFonts w:hint="eastAsia"/>
          <w:sz w:val="28"/>
          <w:szCs w:val="28"/>
        </w:rPr>
        <w:t xml:space="preserve">                          日期：    年   月   日</w:t>
      </w:r>
    </w:p>
    <w:p>
      <w:pPr>
        <w:pStyle w:val="2"/>
        <w:rPr>
          <w:rFonts w:hint="default"/>
          <w:sz w:val="28"/>
          <w:szCs w:val="28"/>
          <w:lang w:val="en-US" w:eastAsia="zh-CN"/>
        </w:rPr>
      </w:pPr>
    </w:p>
    <w:p>
      <w:pPr>
        <w:pStyle w:val="2"/>
        <w:rPr>
          <w:rFonts w:hint="eastAsia"/>
          <w:sz w:val="28"/>
          <w:szCs w:val="28"/>
          <w:lang w:val="en-US" w:eastAsia="zh-CN"/>
        </w:rPr>
      </w:pPr>
    </w:p>
    <w:p>
      <w:pPr>
        <w:pStyle w:val="2"/>
        <w:rPr>
          <w:rFonts w:hint="eastAsia"/>
          <w:sz w:val="28"/>
          <w:szCs w:val="28"/>
          <w:lang w:val="en-US" w:eastAsia="zh-CN"/>
        </w:rPr>
      </w:pPr>
    </w:p>
    <w:p>
      <w:pPr>
        <w:pStyle w:val="2"/>
        <w:rPr>
          <w:rFonts w:hint="default"/>
          <w:sz w:val="28"/>
          <w:szCs w:val="28"/>
          <w:lang w:val="en-US" w:eastAsia="zh-CN"/>
        </w:rPr>
      </w:pPr>
      <w:r>
        <w:rPr>
          <w:rFonts w:hint="eastAsia"/>
          <w:sz w:val="28"/>
          <w:szCs w:val="28"/>
          <w:lang w:val="en-US" w:eastAsia="zh-CN"/>
        </w:rPr>
        <w:t>附件2：</w:t>
      </w:r>
    </w:p>
    <w:p>
      <w:pPr>
        <w:adjustRightInd w:val="0"/>
        <w:snapToGrid w:val="0"/>
        <w:spacing w:line="360" w:lineRule="auto"/>
        <w:jc w:val="center"/>
        <w:rPr>
          <w:rFonts w:ascii="宋体" w:hAnsi="宋体"/>
          <w:b/>
          <w:bCs/>
          <w:color w:val="000000"/>
          <w:sz w:val="32"/>
          <w:szCs w:val="32"/>
        </w:rPr>
      </w:pPr>
      <w:r>
        <w:rPr>
          <w:rFonts w:hint="eastAsia" w:ascii="宋体" w:hAnsi="宋体"/>
          <w:b/>
          <w:bCs/>
          <w:color w:val="000000"/>
          <w:sz w:val="32"/>
          <w:szCs w:val="32"/>
          <w:lang w:val="en-US" w:eastAsia="zh-CN"/>
        </w:rPr>
        <w:t>项目</w:t>
      </w:r>
      <w:r>
        <w:rPr>
          <w:rFonts w:hint="eastAsia" w:ascii="宋体" w:hAnsi="宋体"/>
          <w:b/>
          <w:bCs/>
          <w:color w:val="000000"/>
          <w:sz w:val="32"/>
          <w:szCs w:val="32"/>
        </w:rPr>
        <w:t>人员要求：</w:t>
      </w:r>
    </w:p>
    <w:p>
      <w:pPr>
        <w:adjustRightInd w:val="0"/>
        <w:snapToGrid w:val="0"/>
        <w:spacing w:line="360" w:lineRule="auto"/>
        <w:ind w:firstLine="470" w:firstLineChars="196"/>
      </w:pPr>
      <w:r>
        <w:rPr>
          <w:rFonts w:hint="eastAsia" w:ascii="宋体" w:hAnsi="宋体"/>
          <w:color w:val="000000"/>
          <w:sz w:val="24"/>
          <w:szCs w:val="24"/>
        </w:rPr>
        <w:t>基本人员要求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3049"/>
        <w:gridCol w:w="1791"/>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2" w:type="pct"/>
            <w:vAlign w:val="center"/>
          </w:tcPr>
          <w:p>
            <w:pPr>
              <w:jc w:val="center"/>
              <w:rPr>
                <w:rFonts w:ascii="宋体" w:hAnsi="宋体" w:cs="仿宋"/>
                <w:kern w:val="0"/>
                <w:sz w:val="24"/>
                <w:szCs w:val="24"/>
              </w:rPr>
            </w:pPr>
            <w:r>
              <w:rPr>
                <w:rFonts w:hint="eastAsia" w:ascii="宋体" w:hAnsi="宋体" w:cs="仿宋"/>
                <w:kern w:val="0"/>
                <w:sz w:val="24"/>
                <w:szCs w:val="24"/>
              </w:rPr>
              <w:t>岗位</w:t>
            </w:r>
          </w:p>
        </w:tc>
        <w:tc>
          <w:tcPr>
            <w:tcW w:w="1788" w:type="pct"/>
            <w:vAlign w:val="center"/>
          </w:tcPr>
          <w:p>
            <w:pPr>
              <w:jc w:val="center"/>
              <w:rPr>
                <w:rFonts w:ascii="宋体" w:hAnsi="宋体" w:cs="仿宋"/>
                <w:kern w:val="0"/>
                <w:sz w:val="24"/>
                <w:szCs w:val="24"/>
              </w:rPr>
            </w:pPr>
            <w:r>
              <w:rPr>
                <w:rFonts w:hint="eastAsia" w:ascii="宋体" w:hAnsi="宋体" w:cs="仿宋"/>
                <w:kern w:val="0"/>
                <w:sz w:val="24"/>
                <w:szCs w:val="24"/>
              </w:rPr>
              <w:t>资质证书要求</w:t>
            </w:r>
          </w:p>
        </w:tc>
        <w:tc>
          <w:tcPr>
            <w:tcW w:w="1050" w:type="pct"/>
            <w:vAlign w:val="center"/>
          </w:tcPr>
          <w:p>
            <w:pPr>
              <w:jc w:val="center"/>
              <w:rPr>
                <w:rFonts w:ascii="宋体" w:hAnsi="宋体" w:cs="仿宋"/>
                <w:kern w:val="0"/>
                <w:sz w:val="24"/>
                <w:szCs w:val="24"/>
              </w:rPr>
            </w:pPr>
            <w:r>
              <w:rPr>
                <w:rFonts w:hint="eastAsia" w:ascii="宋体" w:hAnsi="宋体" w:cs="仿宋"/>
                <w:kern w:val="0"/>
                <w:sz w:val="24"/>
                <w:szCs w:val="24"/>
              </w:rPr>
              <w:t>最低人员配额</w:t>
            </w:r>
          </w:p>
        </w:tc>
        <w:tc>
          <w:tcPr>
            <w:tcW w:w="1487" w:type="pct"/>
            <w:vAlign w:val="center"/>
          </w:tcPr>
          <w:p>
            <w:pPr>
              <w:jc w:val="center"/>
              <w:rPr>
                <w:rFonts w:ascii="宋体" w:hAnsi="宋体" w:cs="仿宋"/>
                <w:kern w:val="0"/>
                <w:sz w:val="24"/>
                <w:szCs w:val="24"/>
              </w:rPr>
            </w:pPr>
            <w:r>
              <w:rPr>
                <w:rFonts w:hint="eastAsia" w:ascii="宋体" w:hAnsi="宋体" w:cs="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2" w:type="pct"/>
            <w:vAlign w:val="center"/>
          </w:tcPr>
          <w:p>
            <w:pPr>
              <w:jc w:val="center"/>
              <w:rPr>
                <w:rFonts w:ascii="宋体" w:hAnsi="宋体" w:cs="仿宋"/>
                <w:kern w:val="0"/>
                <w:sz w:val="24"/>
                <w:szCs w:val="24"/>
              </w:rPr>
            </w:pPr>
            <w:r>
              <w:rPr>
                <w:rFonts w:hint="eastAsia" w:ascii="宋体" w:hAnsi="宋体" w:cs="仿宋"/>
                <w:kern w:val="0"/>
                <w:sz w:val="24"/>
                <w:szCs w:val="24"/>
              </w:rPr>
              <w:t>项目负责人</w:t>
            </w:r>
          </w:p>
        </w:tc>
        <w:tc>
          <w:tcPr>
            <w:tcW w:w="1788"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全国注册造价工程师或有效的一级注册造价工程师，且具有高级职称</w:t>
            </w:r>
          </w:p>
          <w:p>
            <w:pPr>
              <w:pStyle w:val="2"/>
            </w:pPr>
          </w:p>
        </w:tc>
        <w:tc>
          <w:tcPr>
            <w:tcW w:w="1050" w:type="pct"/>
            <w:vAlign w:val="center"/>
          </w:tcPr>
          <w:p>
            <w:pPr>
              <w:jc w:val="center"/>
              <w:rPr>
                <w:rFonts w:ascii="宋体" w:hAnsi="宋体" w:cs="仿宋"/>
                <w:kern w:val="0"/>
                <w:sz w:val="24"/>
                <w:szCs w:val="24"/>
              </w:rPr>
            </w:pPr>
            <w:r>
              <w:rPr>
                <w:rFonts w:hint="eastAsia" w:ascii="宋体" w:hAnsi="宋体" w:cs="仿宋"/>
                <w:kern w:val="0"/>
                <w:sz w:val="24"/>
                <w:szCs w:val="24"/>
              </w:rPr>
              <w:t>1</w:t>
            </w:r>
          </w:p>
        </w:tc>
        <w:tc>
          <w:tcPr>
            <w:tcW w:w="1487" w:type="pct"/>
            <w:vMerge w:val="restart"/>
            <w:vAlign w:val="center"/>
          </w:tcPr>
          <w:p>
            <w:pPr>
              <w:jc w:val="center"/>
              <w:rPr>
                <w:rFonts w:ascii="宋体" w:hAnsi="宋体" w:cs="仿宋"/>
                <w:kern w:val="0"/>
                <w:sz w:val="24"/>
                <w:szCs w:val="24"/>
              </w:rPr>
            </w:pPr>
            <w:r>
              <w:rPr>
                <w:rFonts w:hint="eastAsia" w:ascii="宋体" w:hAnsi="宋体" w:cs="仿宋"/>
                <w:kern w:val="0"/>
                <w:sz w:val="24"/>
                <w:szCs w:val="24"/>
              </w:rPr>
              <w:t>至少配备1名土木建筑工程（土建）专业人员；所有人员需在</w:t>
            </w:r>
            <w:r>
              <w:rPr>
                <w:rFonts w:hint="eastAsia" w:ascii="宋体" w:hAnsi="宋体" w:cs="仿宋"/>
                <w:kern w:val="0"/>
                <w:sz w:val="24"/>
                <w:szCs w:val="24"/>
                <w:lang w:val="en-US" w:eastAsia="zh-CN"/>
              </w:rPr>
              <w:t>供应商</w:t>
            </w:r>
            <w:r>
              <w:rPr>
                <w:rFonts w:hint="eastAsia" w:ascii="宋体" w:hAnsi="宋体" w:cs="仿宋"/>
                <w:kern w:val="0"/>
                <w:sz w:val="24"/>
                <w:szCs w:val="24"/>
              </w:rPr>
              <w:t>单位注册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2" w:type="pct"/>
            <w:vAlign w:val="center"/>
          </w:tcPr>
          <w:p>
            <w:pPr>
              <w:jc w:val="center"/>
              <w:rPr>
                <w:rFonts w:ascii="宋体" w:hAnsi="宋体" w:cs="仿宋"/>
                <w:kern w:val="0"/>
                <w:sz w:val="24"/>
                <w:szCs w:val="24"/>
              </w:rPr>
            </w:pPr>
            <w:r>
              <w:rPr>
                <w:rFonts w:hint="eastAsia" w:ascii="宋体" w:hAnsi="宋体" w:cs="仿宋"/>
                <w:kern w:val="0"/>
                <w:sz w:val="24"/>
                <w:szCs w:val="24"/>
              </w:rPr>
              <w:t>造价人员</w:t>
            </w:r>
          </w:p>
        </w:tc>
        <w:tc>
          <w:tcPr>
            <w:tcW w:w="1788" w:type="pct"/>
            <w:vAlign w:val="center"/>
          </w:tcPr>
          <w:p>
            <w:pPr>
              <w:jc w:val="center"/>
              <w:rPr>
                <w:rFonts w:hint="eastAsia" w:ascii="宋体" w:hAnsi="宋体" w:cs="仿宋"/>
                <w:kern w:val="0"/>
                <w:sz w:val="24"/>
                <w:szCs w:val="24"/>
              </w:rPr>
            </w:pPr>
          </w:p>
          <w:p>
            <w:pPr>
              <w:jc w:val="center"/>
              <w:rPr>
                <w:rFonts w:hint="eastAsia" w:ascii="宋体" w:hAnsi="宋体" w:cs="仿宋"/>
                <w:kern w:val="0"/>
                <w:sz w:val="24"/>
                <w:szCs w:val="24"/>
              </w:rPr>
            </w:pPr>
            <w:r>
              <w:rPr>
                <w:rFonts w:hint="eastAsia" w:ascii="宋体" w:hAnsi="宋体" w:cs="仿宋"/>
                <w:kern w:val="0"/>
                <w:sz w:val="24"/>
                <w:szCs w:val="24"/>
              </w:rPr>
              <w:t>全国注册造价工程师或</w:t>
            </w:r>
          </w:p>
          <w:p>
            <w:pPr>
              <w:jc w:val="center"/>
              <w:rPr>
                <w:rFonts w:hint="eastAsia" w:ascii="宋体" w:hAnsi="宋体" w:cs="仿宋"/>
                <w:kern w:val="0"/>
                <w:sz w:val="24"/>
                <w:szCs w:val="24"/>
              </w:rPr>
            </w:pPr>
            <w:r>
              <w:rPr>
                <w:rFonts w:hint="eastAsia" w:ascii="宋体" w:hAnsi="宋体" w:cs="仿宋"/>
                <w:kern w:val="0"/>
                <w:sz w:val="24"/>
                <w:szCs w:val="24"/>
              </w:rPr>
              <w:t>有效的一级注册造价工师</w:t>
            </w:r>
          </w:p>
          <w:p>
            <w:pPr>
              <w:pStyle w:val="2"/>
            </w:pPr>
          </w:p>
        </w:tc>
        <w:tc>
          <w:tcPr>
            <w:tcW w:w="1050" w:type="pct"/>
            <w:vAlign w:val="center"/>
          </w:tcPr>
          <w:p>
            <w:pPr>
              <w:jc w:val="center"/>
              <w:rPr>
                <w:rFonts w:ascii="宋体" w:hAnsi="宋体" w:cs="仿宋"/>
                <w:kern w:val="0"/>
                <w:sz w:val="24"/>
                <w:szCs w:val="24"/>
              </w:rPr>
            </w:pPr>
            <w:r>
              <w:rPr>
                <w:rFonts w:hint="eastAsia" w:ascii="宋体" w:hAnsi="宋体" w:cs="仿宋"/>
                <w:kern w:val="0"/>
                <w:sz w:val="24"/>
                <w:szCs w:val="24"/>
              </w:rPr>
              <w:t>3</w:t>
            </w:r>
          </w:p>
        </w:tc>
        <w:tc>
          <w:tcPr>
            <w:tcW w:w="1487" w:type="pct"/>
            <w:vMerge w:val="continue"/>
            <w:vAlign w:val="center"/>
          </w:tcPr>
          <w:p>
            <w:pPr>
              <w:jc w:val="center"/>
              <w:rPr>
                <w:rFonts w:ascii="宋体" w:hAnsi="宋体" w:cs="仿宋"/>
                <w:kern w:val="0"/>
                <w:sz w:val="24"/>
                <w:szCs w:val="24"/>
              </w:rPr>
            </w:pPr>
          </w:p>
        </w:tc>
      </w:tr>
    </w:tbl>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注：</w:t>
      </w:r>
    </w:p>
    <w:p>
      <w:pPr>
        <w:numPr>
          <w:ilvl w:val="0"/>
          <w:numId w:val="3"/>
        </w:numPr>
        <w:adjustRightInd w:val="0"/>
        <w:snapToGrid w:val="0"/>
        <w:spacing w:line="360" w:lineRule="auto"/>
        <w:ind w:right="105" w:rightChars="50" w:firstLine="482" w:firstLineChars="200"/>
        <w:rPr>
          <w:rFonts w:hint="eastAsia" w:ascii="宋体" w:hAnsi="宋体" w:cs="宋体"/>
          <w:b/>
          <w:bCs/>
          <w:color w:val="FF0000"/>
          <w:sz w:val="24"/>
          <w:szCs w:val="24"/>
          <w:lang w:eastAsia="zh-CN"/>
        </w:rPr>
      </w:pPr>
      <w:r>
        <w:rPr>
          <w:rFonts w:hint="eastAsia" w:ascii="宋体" w:hAnsi="宋体" w:cs="宋体"/>
          <w:b/>
          <w:bCs/>
          <w:color w:val="FF0000"/>
          <w:sz w:val="24"/>
          <w:szCs w:val="24"/>
        </w:rPr>
        <w:t>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连续近3个月在该单位缴纳社会保障金的证明材料</w:t>
      </w:r>
      <w:r>
        <w:rPr>
          <w:rFonts w:hint="eastAsia" w:ascii="宋体" w:hAnsi="宋体" w:cs="宋体"/>
          <w:b/>
          <w:bCs/>
          <w:color w:val="FF0000"/>
          <w:sz w:val="24"/>
          <w:szCs w:val="24"/>
          <w:lang w:eastAsia="zh-CN"/>
        </w:rPr>
        <w:t>。</w:t>
      </w:r>
    </w:p>
    <w:p>
      <w:pPr>
        <w:numPr>
          <w:ilvl w:val="0"/>
          <w:numId w:val="0"/>
        </w:num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（2）若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w:t>
      </w:r>
      <w:r>
        <w:rPr>
          <w:rFonts w:hint="eastAsia" w:ascii="宋体" w:hAnsi="宋体" w:cs="宋体"/>
          <w:b/>
          <w:bCs/>
          <w:color w:val="FF0000"/>
          <w:sz w:val="24"/>
          <w:szCs w:val="24"/>
          <w:lang w:val="en-US" w:eastAsia="zh-CN"/>
        </w:rPr>
        <w:t>2023年1月以来</w:t>
      </w:r>
      <w:r>
        <w:rPr>
          <w:rFonts w:hint="eastAsia" w:ascii="宋体" w:hAnsi="宋体" w:cs="宋体"/>
          <w:b/>
          <w:bCs/>
          <w:color w:val="FF0000"/>
          <w:sz w:val="24"/>
          <w:szCs w:val="24"/>
        </w:rPr>
        <w:t>连续3个月为其缴纳社会保障金的证明材料复印件。</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（3）与</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有直</w:t>
      </w:r>
      <w:r>
        <w:rPr>
          <w:rFonts w:hint="eastAsia" w:ascii="宋体" w:hAnsi="宋体" w:cs="宋体"/>
          <w:b/>
          <w:bCs/>
          <w:color w:val="FF0000"/>
          <w:sz w:val="24"/>
          <w:szCs w:val="24"/>
          <w:lang w:val="en-US" w:eastAsia="zh-CN"/>
        </w:rPr>
        <w:t xml:space="preserve">  </w:t>
      </w:r>
      <w:r>
        <w:rPr>
          <w:rFonts w:hint="eastAsia" w:ascii="宋体" w:hAnsi="宋体" w:cs="宋体"/>
          <w:b/>
          <w:bCs/>
          <w:color w:val="FF0000"/>
          <w:sz w:val="24"/>
          <w:szCs w:val="24"/>
        </w:rPr>
        <w:t>接隶属关系的机构缴纳的社保视同缴纳，但须提供有关证明材料。</w:t>
      </w:r>
    </w:p>
    <w:p>
      <w:pPr>
        <w:adjustRightInd w:val="0"/>
        <w:snapToGrid w:val="0"/>
        <w:spacing w:line="360" w:lineRule="auto"/>
        <w:ind w:right="105" w:rightChars="50" w:firstLine="482" w:firstLineChars="200"/>
        <w:rPr>
          <w:rFonts w:ascii="宋体" w:hAnsi="宋体" w:cs="宋体"/>
          <w:b/>
          <w:bCs/>
          <w:color w:val="FF0000"/>
          <w:sz w:val="24"/>
          <w:szCs w:val="24"/>
        </w:rPr>
      </w:pPr>
      <w:r>
        <w:rPr>
          <w:rFonts w:hint="eastAsia" w:ascii="宋体" w:hAnsi="宋体" w:cs="宋体"/>
          <w:b/>
          <w:bCs/>
          <w:color w:val="FF0000"/>
          <w:sz w:val="24"/>
          <w:szCs w:val="24"/>
        </w:rPr>
        <w:t>（4）退休人员须提供退休证明及返聘合同材料复印件或扫描件。</w:t>
      </w:r>
    </w:p>
    <w:p>
      <w:pPr>
        <w:pStyle w:val="8"/>
      </w:pPr>
    </w:p>
    <w:p>
      <w:pPr>
        <w:pStyle w:val="8"/>
      </w:pPr>
    </w:p>
    <w:p>
      <w:pPr>
        <w:pStyle w:val="8"/>
      </w:pPr>
    </w:p>
    <w:p>
      <w:pPr>
        <w:pStyle w:val="8"/>
      </w:pPr>
    </w:p>
    <w:p>
      <w:pPr>
        <w:pStyle w:val="8"/>
      </w:pPr>
    </w:p>
    <w:p>
      <w:pPr>
        <w:pStyle w:val="8"/>
      </w:pPr>
    </w:p>
    <w:p>
      <w:pPr>
        <w:pStyle w:val="8"/>
      </w:pPr>
    </w:p>
    <w:p>
      <w:pPr>
        <w:pStyle w:val="8"/>
        <w:rPr>
          <w:rFonts w:hint="eastAsia"/>
          <w:b/>
          <w:bCs/>
          <w:sz w:val="30"/>
          <w:szCs w:val="30"/>
          <w:lang w:val="en-US" w:eastAsia="zh-CN"/>
        </w:rPr>
      </w:pPr>
      <w:r>
        <w:rPr>
          <w:rFonts w:hint="eastAsia"/>
          <w:b/>
          <w:bCs/>
          <w:sz w:val="30"/>
          <w:szCs w:val="30"/>
          <w:lang w:val="en-US" w:eastAsia="zh-CN"/>
        </w:rPr>
        <w:t>附件3：</w:t>
      </w:r>
    </w:p>
    <w:p>
      <w:pPr>
        <w:pStyle w:val="8"/>
        <w:jc w:val="center"/>
        <w:rPr>
          <w:b/>
          <w:bCs/>
        </w:rPr>
      </w:pPr>
      <w:r>
        <w:rPr>
          <w:rFonts w:hint="eastAsia"/>
          <w:b/>
          <w:bCs/>
          <w:lang w:val="en-US" w:eastAsia="zh-CN"/>
        </w:rPr>
        <w:t>马鞍山长江西岸（和县段）生态保护与绿色发展项目——和州之心和海峡大道至太阳河口段（EPC总承包）跟踪审计评审标准</w:t>
      </w:r>
    </w:p>
    <w:tbl>
      <w:tblPr>
        <w:tblStyle w:val="9"/>
        <w:tblW w:w="602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0" w:type="dxa"/>
          <w:bottom w:w="0" w:type="dxa"/>
          <w:right w:w="0" w:type="dxa"/>
        </w:tblCellMar>
      </w:tblPr>
      <w:tblGrid>
        <w:gridCol w:w="738"/>
        <w:gridCol w:w="1010"/>
        <w:gridCol w:w="1066"/>
        <w:gridCol w:w="72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32" w:hRule="atLeast"/>
          <w:jc w:val="center"/>
        </w:trPr>
        <w:tc>
          <w:tcPr>
            <w:tcW w:w="367"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eastAsiaTheme="minorEastAsia"/>
                <w:b/>
                <w:lang w:val="en-US" w:eastAsia="zh-CN"/>
              </w:rPr>
            </w:pPr>
            <w:r>
              <w:rPr>
                <w:rFonts w:hint="eastAsia"/>
                <w:b/>
                <w:lang w:val="en-US" w:eastAsia="zh-CN"/>
              </w:rPr>
              <w:t>序号</w:t>
            </w:r>
          </w:p>
        </w:tc>
        <w:tc>
          <w:tcPr>
            <w:tcW w:w="502"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rFonts w:hint="eastAsia"/>
                <w:b/>
              </w:rPr>
            </w:pPr>
            <w:r>
              <w:rPr>
                <w:rFonts w:hint="eastAsia"/>
                <w:b/>
              </w:rPr>
              <w:t>评分</w:t>
            </w:r>
          </w:p>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项目</w:t>
            </w:r>
          </w:p>
        </w:tc>
        <w:tc>
          <w:tcPr>
            <w:tcW w:w="530"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满分值（分）</w:t>
            </w:r>
          </w:p>
        </w:tc>
        <w:tc>
          <w:tcPr>
            <w:tcW w:w="3599" w:type="pct"/>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60" w:afterAutospacing="0" w:line="440" w:lineRule="exact"/>
              <w:ind w:left="63" w:leftChars="30" w:right="63" w:rightChars="30"/>
              <w:jc w:val="center"/>
              <w:textAlignment w:val="auto"/>
              <w:rPr>
                <w:b/>
              </w:rPr>
            </w:pPr>
            <w:r>
              <w:rPr>
                <w:rFonts w:hint="eastAsia"/>
                <w:b/>
              </w:rPr>
              <w:t>评分内容及标准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cs="Arial" w:eastAsiaTheme="minorEastAsia"/>
                <w:sz w:val="24"/>
                <w:szCs w:val="24"/>
                <w:lang w:val="en-US" w:eastAsia="zh-CN"/>
              </w:rPr>
            </w:pPr>
            <w:r>
              <w:rPr>
                <w:rFonts w:hint="eastAsia" w:ascii="宋体" w:hAnsi="宋体" w:cs="Arial"/>
                <w:sz w:val="24"/>
                <w:szCs w:val="24"/>
                <w:lang w:val="en-US" w:eastAsia="zh-CN"/>
              </w:rPr>
              <w:t>1</w:t>
            </w:r>
          </w:p>
        </w:tc>
        <w:tc>
          <w:tcPr>
            <w:tcW w:w="502" w:type="pct"/>
            <w:vAlign w:val="center"/>
          </w:tcPr>
          <w:p>
            <w:pPr>
              <w:numPr>
                <w:ilvl w:val="0"/>
                <w:numId w:val="0"/>
              </w:numPr>
              <w:spacing w:line="360" w:lineRule="auto"/>
              <w:jc w:val="center"/>
              <w:rPr>
                <w:rFonts w:hint="eastAsia" w:ascii="宋体" w:hAnsi="宋体" w:cs="Arial"/>
                <w:sz w:val="24"/>
                <w:szCs w:val="24"/>
              </w:rPr>
            </w:pPr>
            <w:r>
              <w:rPr>
                <w:rFonts w:hint="eastAsia" w:ascii="宋体" w:hAnsi="宋体" w:cs="Arial"/>
                <w:sz w:val="24"/>
                <w:szCs w:val="24"/>
              </w:rPr>
              <w:t>服务</w:t>
            </w:r>
          </w:p>
          <w:p>
            <w:pPr>
              <w:numPr>
                <w:ilvl w:val="0"/>
                <w:numId w:val="0"/>
              </w:numPr>
              <w:spacing w:line="360" w:lineRule="auto"/>
              <w:jc w:val="center"/>
              <w:rPr>
                <w:rFonts w:ascii="宋体" w:hAnsi="宋体" w:cs="Arial"/>
                <w:sz w:val="24"/>
                <w:szCs w:val="24"/>
              </w:rPr>
            </w:pPr>
            <w:r>
              <w:rPr>
                <w:rFonts w:hint="eastAsia" w:ascii="宋体" w:hAnsi="宋体" w:cs="Arial"/>
                <w:sz w:val="24"/>
                <w:szCs w:val="24"/>
              </w:rPr>
              <w:t>方案</w:t>
            </w:r>
          </w:p>
        </w:tc>
        <w:tc>
          <w:tcPr>
            <w:tcW w:w="530" w:type="pct"/>
            <w:vAlign w:val="center"/>
          </w:tcPr>
          <w:p>
            <w:pPr>
              <w:spacing w:line="360" w:lineRule="auto"/>
              <w:jc w:val="center"/>
              <w:rPr>
                <w:rFonts w:hint="default" w:ascii="宋体" w:hAnsi="宋体" w:eastAsia="宋体"/>
                <w:color w:val="000000"/>
                <w:kern w:val="0"/>
                <w:sz w:val="24"/>
                <w:szCs w:val="24"/>
                <w:lang w:val="en-US" w:eastAsia="zh-CN"/>
              </w:rPr>
            </w:pPr>
            <w:r>
              <w:rPr>
                <w:rFonts w:hint="eastAsia" w:ascii="宋体" w:hAnsi="宋体"/>
                <w:color w:val="000000"/>
                <w:kern w:val="0"/>
                <w:sz w:val="24"/>
                <w:szCs w:val="24"/>
                <w:lang w:val="en-US" w:eastAsia="zh-CN"/>
              </w:rPr>
              <w:t>15</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1.1综合比较承接项目后的工作步骤、流程：</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（1）工作步骤流程清晰，节点、跟进人员及提供服务内容明确、风险及意外事件控制合理</w:t>
            </w:r>
            <w:r>
              <w:rPr>
                <w:rFonts w:hint="eastAsia" w:ascii="宋体" w:hAnsi="宋体"/>
                <w:sz w:val="24"/>
                <w:szCs w:val="24"/>
                <w:lang w:val="en-US" w:eastAsia="zh-CN"/>
              </w:rPr>
              <w:t>的</w:t>
            </w:r>
            <w:r>
              <w:rPr>
                <w:rFonts w:hint="eastAsia" w:ascii="宋体" w:hAnsi="宋体"/>
                <w:sz w:val="24"/>
                <w:szCs w:val="24"/>
                <w:lang w:eastAsia="zh-CN"/>
              </w:rPr>
              <w:t>，</w:t>
            </w:r>
            <w:r>
              <w:rPr>
                <w:rFonts w:hint="eastAsia" w:ascii="宋体" w:hAnsi="宋体"/>
                <w:sz w:val="24"/>
                <w:szCs w:val="24"/>
                <w:lang w:val="en-US" w:eastAsia="zh-CN"/>
              </w:rPr>
              <w:t>得4-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（2）工作步骤及流程较清晰、跟进人员及提供服务内容、风险及意外事件控制较合理的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（3）工作步骤、流程内容欠缺、有待调整的</w:t>
            </w:r>
            <w:r>
              <w:rPr>
                <w:rFonts w:hint="eastAsia" w:ascii="宋体" w:hAnsi="宋体"/>
                <w:sz w:val="24"/>
                <w:szCs w:val="24"/>
                <w:lang w:eastAsia="zh-CN"/>
              </w:rPr>
              <w:t>，</w:t>
            </w:r>
            <w:r>
              <w:rPr>
                <w:rFonts w:hint="eastAsia" w:ascii="宋体" w:hAnsi="宋体"/>
                <w:sz w:val="24"/>
                <w:szCs w:val="24"/>
                <w:lang w:val="en-US" w:eastAsia="zh-CN"/>
              </w:rPr>
              <w:t>得1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1.2综合比较对本项目工程跟踪审计服务的质量控制方案：</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（1）质量控制方案完整、合理有效且有很强操作性的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（2）质量控制方案较好且有操作性的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（3）质量控制方案内容欠缺、有待调整的得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1.3综合比较对本项目实施意见及重点、难点分析理解控制内容：</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（1）实施意见有针对性、可操作性且条理清晰，重点难点分析理解准确，风险控制有效的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4-</w:t>
            </w:r>
            <w:r>
              <w:rPr>
                <w:rFonts w:hint="eastAsia" w:ascii="宋体" w:hAnsi="宋体"/>
                <w:sz w:val="24"/>
                <w:szCs w:val="24"/>
              </w:rPr>
              <w:t>5分；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（2）实施意见、重点难点分析理解较准确，风险控制较好的</w:t>
            </w:r>
            <w:r>
              <w:rPr>
                <w:rFonts w:hint="eastAsia" w:ascii="宋体" w:hAnsi="宋体"/>
                <w:sz w:val="24"/>
                <w:szCs w:val="24"/>
                <w:lang w:eastAsia="zh-CN"/>
              </w:rPr>
              <w:t>，</w:t>
            </w:r>
            <w:r>
              <w:rPr>
                <w:rFonts w:hint="eastAsia" w:ascii="宋体" w:hAnsi="宋体"/>
                <w:sz w:val="24"/>
                <w:szCs w:val="24"/>
              </w:rPr>
              <w:t>得</w:t>
            </w:r>
            <w:r>
              <w:rPr>
                <w:rFonts w:hint="eastAsia" w:ascii="宋体" w:hAnsi="宋体"/>
                <w:sz w:val="24"/>
                <w:szCs w:val="24"/>
                <w:lang w:val="en-US" w:eastAsia="zh-CN"/>
              </w:rPr>
              <w:t>2-3</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sz w:val="24"/>
                <w:szCs w:val="24"/>
              </w:rPr>
            </w:pPr>
            <w:r>
              <w:rPr>
                <w:rFonts w:hint="eastAsia" w:ascii="宋体" w:hAnsi="宋体"/>
                <w:sz w:val="24"/>
                <w:szCs w:val="24"/>
              </w:rPr>
              <w:t>（3）实施意见、重点难点分析内容欠缺、有待调整的得</w:t>
            </w:r>
            <w:r>
              <w:rPr>
                <w:rFonts w:hint="eastAsia" w:ascii="宋体" w:hAnsi="宋体"/>
                <w:sz w:val="24"/>
                <w:szCs w:val="24"/>
                <w:lang w:val="en-US" w:eastAsia="zh-CN"/>
              </w:rPr>
              <w:t>1</w:t>
            </w:r>
            <w:r>
              <w:rPr>
                <w:rFonts w:hint="eastAsia" w:ascii="宋体" w:hAnsi="宋体"/>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olor w:val="000000"/>
                <w:kern w:val="0"/>
                <w:sz w:val="24"/>
                <w:szCs w:val="24"/>
              </w:rPr>
            </w:pPr>
            <w:r>
              <w:rPr>
                <w:rFonts w:hint="eastAsia" w:ascii="宋体" w:hAnsi="宋体"/>
                <w:sz w:val="24"/>
                <w:szCs w:val="24"/>
              </w:rPr>
              <w:t>（4）无相关内容的</w:t>
            </w:r>
            <w:r>
              <w:rPr>
                <w:rFonts w:hint="eastAsia" w:ascii="宋体" w:hAnsi="宋体"/>
                <w:sz w:val="24"/>
                <w:szCs w:val="24"/>
                <w:lang w:eastAsia="zh-CN"/>
              </w:rPr>
              <w:t>，</w:t>
            </w:r>
            <w:r>
              <w:rPr>
                <w:rFonts w:hint="eastAsia" w:ascii="宋体" w:hAnsi="宋体"/>
                <w:sz w:val="24"/>
                <w:szCs w:val="24"/>
              </w:rPr>
              <w:t>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2</w:t>
            </w:r>
          </w:p>
        </w:tc>
        <w:tc>
          <w:tcPr>
            <w:tcW w:w="502" w:type="pct"/>
            <w:vAlign w:val="center"/>
          </w:tcPr>
          <w:p>
            <w:pPr>
              <w:spacing w:line="360" w:lineRule="auto"/>
              <w:jc w:val="center"/>
              <w:rPr>
                <w:rFonts w:ascii="宋体" w:hAnsi="宋体" w:cs="宋体"/>
                <w:sz w:val="24"/>
                <w:szCs w:val="24"/>
              </w:rPr>
            </w:pPr>
            <w:r>
              <w:rPr>
                <w:rFonts w:hint="eastAsia" w:ascii="宋体" w:hAnsi="宋体"/>
                <w:sz w:val="24"/>
                <w:szCs w:val="24"/>
              </w:rPr>
              <w:t>内部管理制度</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 xml:space="preserve">2.1综合比较投标人的内部管理制度：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（1）内部管理制度完善程度全面、细致的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8-10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（2）内部管理制度较全面、较细致的</w:t>
            </w:r>
            <w:r>
              <w:rPr>
                <w:rFonts w:hint="eastAsia" w:ascii="宋体" w:hAnsi="宋体" w:cs="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5-7</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（3）内部管理制度</w:t>
            </w:r>
            <w:r>
              <w:rPr>
                <w:rFonts w:hint="eastAsia" w:ascii="宋体" w:hAnsi="宋体"/>
                <w:sz w:val="24"/>
                <w:szCs w:val="24"/>
              </w:rPr>
              <w:t>内容欠缺、有待调整的</w:t>
            </w:r>
            <w:r>
              <w:rPr>
                <w:rFonts w:hint="eastAsia" w:ascii="宋体" w:hAnsi="宋体"/>
                <w:sz w:val="24"/>
                <w:szCs w:val="24"/>
                <w:lang w:eastAsia="zh-CN"/>
              </w:rPr>
              <w:t>，</w:t>
            </w:r>
            <w:r>
              <w:rPr>
                <w:rFonts w:hint="eastAsia" w:ascii="宋体" w:hAnsi="宋体" w:cs="宋体"/>
                <w:sz w:val="24"/>
                <w:szCs w:val="24"/>
              </w:rPr>
              <w:t>得</w:t>
            </w:r>
            <w:r>
              <w:rPr>
                <w:rFonts w:hint="eastAsia" w:ascii="宋体" w:hAnsi="宋体" w:cs="宋体"/>
                <w:sz w:val="24"/>
                <w:szCs w:val="24"/>
                <w:lang w:val="en-US" w:eastAsia="zh-CN"/>
              </w:rPr>
              <w:t>1-4</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宋体"/>
                <w:sz w:val="24"/>
                <w:szCs w:val="24"/>
              </w:rPr>
            </w:pPr>
            <w:r>
              <w:rPr>
                <w:rFonts w:hint="eastAsia" w:ascii="宋体" w:hAnsi="宋体" w:cs="宋体"/>
                <w:sz w:val="24"/>
                <w:szCs w:val="24"/>
              </w:rPr>
              <w:t>（4）未提供的</w:t>
            </w:r>
            <w:r>
              <w:rPr>
                <w:rFonts w:hint="eastAsia" w:ascii="宋体" w:hAnsi="宋体" w:cs="宋体"/>
                <w:sz w:val="24"/>
                <w:szCs w:val="24"/>
                <w:lang w:eastAsia="zh-CN"/>
              </w:rPr>
              <w:t>，</w:t>
            </w:r>
            <w:r>
              <w:rPr>
                <w:rFonts w:hint="eastAsia" w:ascii="宋体" w:hAnsi="宋体" w:cs="宋体"/>
                <w:sz w:val="24"/>
                <w:szCs w:val="24"/>
              </w:rPr>
              <w:t>得0分。</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502" w:type="pct"/>
            <w:vAlign w:val="center"/>
          </w:tcPr>
          <w:p>
            <w:pPr>
              <w:spacing w:line="360" w:lineRule="auto"/>
              <w:jc w:val="center"/>
              <w:rPr>
                <w:rFonts w:ascii="宋体" w:hAnsi="宋体"/>
                <w:sz w:val="24"/>
                <w:szCs w:val="24"/>
              </w:rPr>
            </w:pPr>
            <w:r>
              <w:rPr>
                <w:rFonts w:hint="eastAsia" w:ascii="宋体" w:hAnsi="宋体"/>
                <w:sz w:val="24"/>
                <w:szCs w:val="24"/>
              </w:rPr>
              <w:t>人员力量情况</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25</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3.1拟派本项目人员力量：</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（1）为本项目服务的人员满足基本人员要求的，得基本分</w:t>
            </w:r>
            <w:r>
              <w:rPr>
                <w:rFonts w:hint="eastAsia" w:ascii="宋体" w:hAnsi="宋体" w:cs="宋体"/>
                <w:sz w:val="24"/>
                <w:szCs w:val="24"/>
                <w:lang w:val="en-US" w:eastAsia="zh-CN"/>
              </w:rPr>
              <w:t>20</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（2）在基本人员要求的基础上，每增加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r>
              <w:rPr>
                <w:rFonts w:hint="eastAsia" w:ascii="宋体" w:hAnsi="宋体" w:cs="宋体"/>
                <w:sz w:val="24"/>
                <w:szCs w:val="24"/>
              </w:rPr>
              <w:t>且具有高级职称的得</w:t>
            </w:r>
            <w:r>
              <w:rPr>
                <w:rFonts w:ascii="宋体" w:hAnsi="宋体" w:cs="宋体"/>
                <w:sz w:val="24"/>
                <w:szCs w:val="24"/>
              </w:rPr>
              <w:t xml:space="preserve"> </w:t>
            </w:r>
            <w:r>
              <w:rPr>
                <w:rFonts w:hint="eastAsia" w:ascii="宋体" w:hAnsi="宋体" w:cs="宋体"/>
                <w:sz w:val="24"/>
                <w:szCs w:val="24"/>
              </w:rPr>
              <w:t>3</w:t>
            </w:r>
            <w:r>
              <w:rPr>
                <w:rFonts w:ascii="宋体" w:hAnsi="宋体" w:cs="宋体"/>
                <w:sz w:val="24"/>
                <w:szCs w:val="24"/>
              </w:rPr>
              <w:t xml:space="preserve"> </w:t>
            </w:r>
            <w:r>
              <w:rPr>
                <w:rFonts w:hint="eastAsia" w:ascii="宋体" w:hAnsi="宋体" w:cs="宋体"/>
                <w:sz w:val="24"/>
                <w:szCs w:val="24"/>
              </w:rPr>
              <w:t>分；每增加</w:t>
            </w:r>
            <w:r>
              <w:rPr>
                <w:rFonts w:ascii="宋体" w:hAnsi="宋体" w:cs="宋体"/>
                <w:sz w:val="24"/>
                <w:szCs w:val="24"/>
              </w:rPr>
              <w:t>1</w:t>
            </w:r>
            <w:r>
              <w:rPr>
                <w:rFonts w:hint="eastAsia" w:ascii="宋体" w:hAnsi="宋体" w:cs="宋体"/>
                <w:sz w:val="24"/>
                <w:szCs w:val="24"/>
              </w:rPr>
              <w:t>名</w:t>
            </w:r>
            <w:r>
              <w:rPr>
                <w:rFonts w:hint="eastAsia" w:ascii="宋体" w:hAnsi="宋体" w:cs="仿宋"/>
                <w:kern w:val="0"/>
                <w:sz w:val="24"/>
                <w:szCs w:val="24"/>
              </w:rPr>
              <w:t>全国注册造价工程师或有效的一级注册造价工程师</w:t>
            </w:r>
            <w:r>
              <w:rPr>
                <w:rFonts w:hint="eastAsia" w:ascii="宋体" w:hAnsi="宋体" w:cs="宋体"/>
                <w:sz w:val="24"/>
                <w:szCs w:val="24"/>
              </w:rPr>
              <w:t>的得2分；</w:t>
            </w:r>
            <w:r>
              <w:rPr>
                <w:rFonts w:hint="eastAsia" w:ascii="宋体" w:hAnsi="宋体" w:cs="宋体"/>
                <w:sz w:val="24"/>
                <w:szCs w:val="24"/>
                <w:lang w:val="en-US" w:eastAsia="zh-CN"/>
              </w:rPr>
              <w:t>满分5分</w:t>
            </w:r>
            <w:r>
              <w:rPr>
                <w:rFonts w:hint="eastAsia" w:ascii="宋体" w:hAnsi="宋体" w:cs="宋体"/>
                <w:sz w:val="24"/>
                <w:szCs w:val="24"/>
              </w:rPr>
              <w:t>。</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r>
              <w:rPr>
                <w:rFonts w:hint="eastAsia" w:ascii="宋体" w:hAnsi="宋体" w:cs="宋体"/>
                <w:sz w:val="24"/>
                <w:szCs w:val="24"/>
              </w:rPr>
              <w:t>本项最高得</w:t>
            </w:r>
            <w:r>
              <w:rPr>
                <w:rFonts w:hint="eastAsia" w:ascii="宋体" w:hAnsi="宋体" w:cs="宋体"/>
                <w:sz w:val="24"/>
                <w:szCs w:val="24"/>
                <w:lang w:val="en-US" w:eastAsia="zh-CN"/>
              </w:rPr>
              <w:t>25</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注：</w:t>
            </w:r>
            <w:r>
              <w:rPr>
                <w:rFonts w:hint="eastAsia" w:ascii="宋体" w:hAnsi="宋体" w:cs="宋体"/>
                <w:b/>
                <w:color w:val="FF0000"/>
                <w:sz w:val="24"/>
                <w:szCs w:val="24"/>
              </w:rPr>
              <w:t>须满足以下条件：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 xml:space="preserve">① </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文件中提供为本项目服务人员的专业资格证书、技术职称证书复印件，其中全国注册造价工程师或有效的一级注册造价工程师提供造价师证书（含执业资格和注册证书）复印件或扫描件。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②拟派本项目服务人员须注册在</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单位，且在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文件中提供连续近3个月（2023年1月以来，任意3个月）在该单位缴纳社会保障金的证明材料。</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③若</w:t>
            </w:r>
            <w:r>
              <w:rPr>
                <w:rFonts w:hint="eastAsia" w:ascii="宋体" w:hAnsi="宋体" w:cs="宋体"/>
                <w:b/>
                <w:bCs/>
                <w:color w:val="FF0000"/>
                <w:sz w:val="24"/>
                <w:szCs w:val="24"/>
                <w:lang w:val="en-US" w:eastAsia="zh-CN"/>
              </w:rPr>
              <w:t>供应商</w:t>
            </w:r>
            <w:r>
              <w:rPr>
                <w:rFonts w:hint="eastAsia" w:ascii="宋体" w:hAnsi="宋体" w:cs="宋体"/>
                <w:b/>
                <w:bCs/>
                <w:color w:val="FF0000"/>
                <w:sz w:val="24"/>
                <w:szCs w:val="24"/>
              </w:rPr>
              <w:t>为事业单位，不能提供缴纳社保的相关证明材料的，需提供加盖当地人社部门盖章的职工花名册原件或人社部门出具的连续近3个月（2023年1月以来，任意3个月）为其缴纳社会保障金的证明材料复印件。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cs="宋体"/>
                <w:b/>
                <w:bCs/>
                <w:color w:val="FF0000"/>
                <w:sz w:val="24"/>
                <w:szCs w:val="24"/>
              </w:rPr>
            </w:pPr>
            <w:r>
              <w:rPr>
                <w:rFonts w:hint="eastAsia" w:ascii="宋体" w:hAnsi="宋体" w:cs="宋体"/>
                <w:b/>
                <w:bCs/>
                <w:color w:val="FF0000"/>
                <w:sz w:val="24"/>
                <w:szCs w:val="24"/>
              </w:rPr>
              <w:t>④退休人员须提供退休证明及返聘合同材料复印件或扫描件。</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ascii="宋体" w:hAnsi="宋体"/>
                <w:sz w:val="24"/>
                <w:szCs w:val="24"/>
              </w:rPr>
            </w:pPr>
            <w:r>
              <w:rPr>
                <w:rFonts w:hint="eastAsia" w:ascii="宋体" w:hAnsi="宋体" w:cs="宋体"/>
                <w:b/>
                <w:bCs/>
                <w:color w:val="FF0000"/>
                <w:sz w:val="24"/>
                <w:szCs w:val="24"/>
              </w:rPr>
              <w:t>未提供以上证明材料或提供的材料不符合要求的，评审小组不予计分。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4</w:t>
            </w:r>
          </w:p>
        </w:tc>
        <w:tc>
          <w:tcPr>
            <w:tcW w:w="502" w:type="pct"/>
            <w:vAlign w:val="center"/>
          </w:tcPr>
          <w:p>
            <w:pPr>
              <w:spacing w:line="360" w:lineRule="auto"/>
              <w:jc w:val="center"/>
              <w:rPr>
                <w:rFonts w:ascii="宋体" w:hAnsi="宋体"/>
                <w:bCs/>
                <w:sz w:val="24"/>
                <w:szCs w:val="24"/>
              </w:rPr>
            </w:pPr>
            <w:r>
              <w:rPr>
                <w:rFonts w:hint="eastAsia" w:ascii="宋体" w:hAnsi="宋体"/>
                <w:bCs/>
                <w:sz w:val="24"/>
                <w:szCs w:val="24"/>
                <w:lang w:val="en-US" w:eastAsia="zh-CN"/>
              </w:rPr>
              <w:t>供应商</w:t>
            </w:r>
            <w:r>
              <w:rPr>
                <w:rFonts w:hint="eastAsia" w:ascii="宋体" w:hAnsi="宋体"/>
                <w:bCs/>
                <w:sz w:val="24"/>
                <w:szCs w:val="24"/>
              </w:rPr>
              <w:t>业绩</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bCs/>
                <w:sz w:val="24"/>
                <w:szCs w:val="24"/>
                <w:lang w:val="en-US" w:eastAsia="zh-CN"/>
              </w:rPr>
              <w:t>18</w:t>
            </w:r>
          </w:p>
        </w:tc>
        <w:tc>
          <w:tcPr>
            <w:tcW w:w="3599" w:type="pct"/>
            <w:vAlign w:val="center"/>
          </w:tcPr>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rPr>
                <w:rFonts w:ascii="宋体" w:hAnsi="宋体" w:cs="宋体"/>
                <w:sz w:val="24"/>
                <w:szCs w:val="24"/>
              </w:rPr>
            </w:pPr>
            <w:bookmarkStart w:id="0" w:name="_GoBack"/>
            <w:bookmarkEnd w:id="0"/>
            <w:r>
              <w:rPr>
                <w:rFonts w:hint="eastAsia" w:ascii="宋体" w:hAnsi="宋体"/>
                <w:sz w:val="24"/>
                <w:szCs w:val="24"/>
              </w:rPr>
              <w:t>4.1</w:t>
            </w:r>
            <w:r>
              <w:rPr>
                <w:rFonts w:hint="eastAsia" w:ascii="宋体" w:hAnsi="宋体"/>
                <w:sz w:val="24"/>
                <w:szCs w:val="24"/>
                <w:lang w:val="en-US" w:eastAsia="zh-CN"/>
              </w:rPr>
              <w:t>供应商</w:t>
            </w:r>
            <w:r>
              <w:rPr>
                <w:rFonts w:hint="eastAsia" w:ascii="宋体" w:hAnsi="宋体"/>
                <w:sz w:val="24"/>
                <w:szCs w:val="24"/>
              </w:rPr>
              <w:t>自2020年1月1日(含)以来（以合同签订日期为准，无合同签订日期评审小组不予计分）具有</w:t>
            </w:r>
            <w:r>
              <w:rPr>
                <w:rFonts w:hint="eastAsia" w:ascii="宋体" w:hAnsi="宋体" w:cs="宋体"/>
                <w:sz w:val="24"/>
                <w:szCs w:val="24"/>
              </w:rPr>
              <w:t>政府投资跟踪审计项目或</w:t>
            </w:r>
            <w:r>
              <w:rPr>
                <w:rFonts w:hint="eastAsia" w:ascii="宋体" w:hAnsi="宋体"/>
                <w:sz w:val="24"/>
                <w:szCs w:val="24"/>
              </w:rPr>
              <w:t>EPC总承包全</w:t>
            </w:r>
            <w:r>
              <w:rPr>
                <w:rFonts w:hint="eastAsia" w:ascii="宋体" w:hAnsi="宋体" w:cs="宋体"/>
                <w:sz w:val="24"/>
                <w:szCs w:val="24"/>
              </w:rPr>
              <w:t>过程咨询业绩，</w:t>
            </w:r>
            <w:r>
              <w:rPr>
                <w:rFonts w:hint="eastAsia" w:ascii="宋体" w:hAnsi="宋体"/>
                <w:sz w:val="24"/>
                <w:szCs w:val="24"/>
              </w:rPr>
              <w:t>单个合同工程投资额9000万元及以上</w:t>
            </w:r>
            <w:r>
              <w:rPr>
                <w:rFonts w:hint="eastAsia" w:ascii="宋体" w:hAnsi="宋体" w:cs="宋体"/>
                <w:sz w:val="24"/>
                <w:szCs w:val="24"/>
              </w:rPr>
              <w:t>的每有1个得</w:t>
            </w:r>
            <w:r>
              <w:rPr>
                <w:rFonts w:hint="eastAsia" w:ascii="宋体" w:hAnsi="宋体" w:cs="宋体"/>
                <w:sz w:val="24"/>
                <w:szCs w:val="24"/>
                <w:lang w:val="en-US" w:eastAsia="zh-CN"/>
              </w:rPr>
              <w:t>6</w:t>
            </w:r>
            <w:r>
              <w:rPr>
                <w:rFonts w:hint="eastAsia" w:ascii="宋体" w:hAnsi="宋体" w:cs="宋体"/>
                <w:sz w:val="24"/>
                <w:szCs w:val="24"/>
              </w:rPr>
              <w:t>分，最多得</w:t>
            </w:r>
            <w:r>
              <w:rPr>
                <w:rFonts w:hint="eastAsia" w:ascii="宋体" w:hAnsi="宋体" w:cs="宋体"/>
                <w:sz w:val="24"/>
                <w:szCs w:val="24"/>
                <w:lang w:val="en-US" w:eastAsia="zh-CN"/>
              </w:rPr>
              <w:t>18</w:t>
            </w:r>
            <w:r>
              <w:rPr>
                <w:rFonts w:hint="eastAsia" w:ascii="宋体" w:hAnsi="宋体" w:cs="宋体"/>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rPr>
                <w:rFonts w:hint="eastAsia" w:ascii="宋体" w:hAnsi="宋体" w:cs="宋体"/>
                <w:b/>
                <w:color w:val="FF0000"/>
                <w:sz w:val="24"/>
                <w:szCs w:val="24"/>
              </w:rPr>
            </w:pPr>
            <w:r>
              <w:rPr>
                <w:rFonts w:hint="eastAsia" w:ascii="宋体" w:hAnsi="宋体" w:cs="宋体"/>
                <w:b/>
                <w:color w:val="FF0000"/>
                <w:sz w:val="24"/>
                <w:szCs w:val="24"/>
              </w:rPr>
              <w:t>注：</w:t>
            </w:r>
            <w:r>
              <w:rPr>
                <w:rFonts w:hint="eastAsia" w:ascii="宋体" w:hAnsi="宋体" w:cs="宋体"/>
                <w:b/>
                <w:color w:val="FF0000"/>
                <w:sz w:val="24"/>
                <w:szCs w:val="24"/>
                <w:lang w:val="en-US" w:eastAsia="zh-CN"/>
              </w:rPr>
              <w:t>响应</w:t>
            </w:r>
            <w:r>
              <w:rPr>
                <w:rFonts w:hint="eastAsia" w:ascii="宋体" w:hAnsi="宋体" w:cs="宋体"/>
                <w:b/>
                <w:color w:val="FF0000"/>
                <w:sz w:val="24"/>
                <w:szCs w:val="24"/>
              </w:rPr>
              <w:t>文件中须提供合同 （包含合同首页、合同内容页 、项目投资额以及盖章页）的复印件，若合同无法清晰反映项目内容的，须另行提供合同甲方出具的证明材料并加盖公章（盖章单位与合同甲方名称一致）格式自拟，未提供、提供不全或不一致的不得分。合同中如未能体现政府投资性项目内容或性质的，可另行提供合同甲方出具的证明材料，内容格式自拟。</w:t>
            </w:r>
          </w:p>
          <w:p>
            <w:pPr>
              <w:pStyle w:val="2"/>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0" w:hRule="atLeast"/>
          <w:jc w:val="center"/>
        </w:trPr>
        <w:tc>
          <w:tcPr>
            <w:tcW w:w="367" w:type="pct"/>
            <w:vAlign w:val="center"/>
          </w:tcPr>
          <w:p>
            <w:pPr>
              <w:numPr>
                <w:ilvl w:val="0"/>
                <w:numId w:val="0"/>
              </w:numPr>
              <w:spacing w:line="360" w:lineRule="auto"/>
              <w:jc w:val="center"/>
              <w:rPr>
                <w:rFonts w:hint="eastAsia" w:ascii="宋体" w:hAnsi="宋体" w:eastAsiaTheme="minorEastAsia"/>
                <w:bCs/>
                <w:sz w:val="24"/>
                <w:szCs w:val="24"/>
                <w:lang w:val="en-US" w:eastAsia="zh-CN"/>
              </w:rPr>
            </w:pPr>
            <w:r>
              <w:rPr>
                <w:rFonts w:hint="eastAsia" w:ascii="宋体" w:hAnsi="宋体"/>
                <w:bCs/>
                <w:sz w:val="24"/>
                <w:szCs w:val="24"/>
                <w:lang w:val="en-US" w:eastAsia="zh-CN"/>
              </w:rPr>
              <w:t>5</w:t>
            </w:r>
          </w:p>
        </w:tc>
        <w:tc>
          <w:tcPr>
            <w:tcW w:w="502" w:type="pct"/>
            <w:vAlign w:val="center"/>
          </w:tcPr>
          <w:p>
            <w:pPr>
              <w:numPr>
                <w:ilvl w:val="0"/>
                <w:numId w:val="0"/>
              </w:numPr>
              <w:spacing w:line="360" w:lineRule="auto"/>
              <w:jc w:val="center"/>
              <w:rPr>
                <w:rFonts w:hint="eastAsia" w:ascii="宋体" w:hAnsi="宋体"/>
                <w:bCs/>
                <w:sz w:val="24"/>
                <w:szCs w:val="24"/>
              </w:rPr>
            </w:pPr>
            <w:r>
              <w:rPr>
                <w:rFonts w:hint="eastAsia" w:ascii="宋体" w:hAnsi="宋体"/>
                <w:bCs/>
                <w:sz w:val="24"/>
                <w:szCs w:val="24"/>
              </w:rPr>
              <w:t>企业</w:t>
            </w:r>
          </w:p>
          <w:p>
            <w:pPr>
              <w:numPr>
                <w:ilvl w:val="0"/>
                <w:numId w:val="0"/>
              </w:numPr>
              <w:spacing w:line="360" w:lineRule="auto"/>
              <w:jc w:val="center"/>
              <w:rPr>
                <w:rFonts w:ascii="宋体" w:hAnsi="宋体"/>
                <w:bCs/>
                <w:sz w:val="24"/>
                <w:szCs w:val="24"/>
              </w:rPr>
            </w:pPr>
            <w:r>
              <w:rPr>
                <w:rFonts w:hint="eastAsia" w:ascii="宋体" w:hAnsi="宋体"/>
                <w:bCs/>
                <w:sz w:val="24"/>
                <w:szCs w:val="24"/>
              </w:rPr>
              <w:t>荣誉</w:t>
            </w:r>
          </w:p>
        </w:tc>
        <w:tc>
          <w:tcPr>
            <w:tcW w:w="530" w:type="pct"/>
            <w:vAlign w:val="center"/>
          </w:tcPr>
          <w:p>
            <w:pPr>
              <w:spacing w:line="360" w:lineRule="auto"/>
              <w:jc w:val="center"/>
              <w:rPr>
                <w:rFonts w:hint="default" w:ascii="宋体" w:hAnsi="宋体" w:eastAsia="宋体"/>
                <w:bCs/>
                <w:sz w:val="24"/>
                <w:szCs w:val="24"/>
                <w:lang w:val="en-US" w:eastAsia="zh-CN"/>
              </w:rPr>
            </w:pPr>
            <w:r>
              <w:rPr>
                <w:rFonts w:hint="eastAsia" w:ascii="宋体" w:hAnsi="宋体"/>
                <w:sz w:val="24"/>
                <w:szCs w:val="24"/>
                <w:lang w:val="en-US" w:eastAsia="zh-CN"/>
              </w:rPr>
              <w:t>12</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sz w:val="24"/>
                <w:szCs w:val="24"/>
              </w:rPr>
              <w:t>5.</w:t>
            </w:r>
            <w:r>
              <w:rPr>
                <w:rFonts w:ascii="宋体" w:hAnsi="宋体" w:cs="宋体"/>
                <w:bCs/>
                <w:sz w:val="24"/>
                <w:szCs w:val="24"/>
              </w:rPr>
              <w:t>1</w:t>
            </w:r>
            <w:r>
              <w:rPr>
                <w:rFonts w:hint="eastAsia" w:ascii="宋体" w:hAnsi="宋体" w:cs="宋体"/>
                <w:bCs/>
                <w:sz w:val="24"/>
                <w:szCs w:val="24"/>
                <w:lang w:val="en-US" w:eastAsia="zh-CN"/>
              </w:rPr>
              <w:t>供应商</w:t>
            </w:r>
            <w:r>
              <w:rPr>
                <w:rFonts w:hint="eastAsia" w:ascii="宋体" w:hAnsi="宋体" w:cs="宋体"/>
                <w:bCs/>
                <w:sz w:val="24"/>
                <w:szCs w:val="24"/>
              </w:rPr>
              <w:t>自2020年1月1日以来，获得地市级建设主管部门或地市级行业主管协会(如建设工程造价管理协会、建设工程咨询行业协会、建筑业协会等) 荣誉表彰的，每有一个得</w:t>
            </w:r>
            <w:r>
              <w:rPr>
                <w:rFonts w:hint="eastAsia" w:ascii="宋体" w:hAnsi="宋体" w:cs="宋体"/>
                <w:bCs/>
                <w:sz w:val="24"/>
                <w:szCs w:val="24"/>
                <w:lang w:val="en-US" w:eastAsia="zh-CN"/>
              </w:rPr>
              <w:t>3</w:t>
            </w:r>
            <w:r>
              <w:rPr>
                <w:rFonts w:hint="eastAsia" w:ascii="宋体" w:hAnsi="宋体" w:cs="宋体"/>
                <w:bCs/>
                <w:sz w:val="24"/>
                <w:szCs w:val="24"/>
              </w:rPr>
              <w:t>分，最多得</w:t>
            </w:r>
            <w:r>
              <w:rPr>
                <w:rFonts w:hint="eastAsia" w:ascii="宋体" w:hAnsi="宋体" w:cs="宋体"/>
                <w:bCs/>
                <w:sz w:val="24"/>
                <w:szCs w:val="24"/>
                <w:lang w:val="en-US" w:eastAsia="zh-CN"/>
              </w:rPr>
              <w:t>9</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cs="宋体"/>
                <w:bCs/>
                <w:sz w:val="24"/>
                <w:szCs w:val="24"/>
              </w:rPr>
            </w:pPr>
            <w:r>
              <w:rPr>
                <w:rFonts w:hint="eastAsia" w:ascii="宋体" w:hAnsi="宋体" w:cs="宋体"/>
                <w:bCs/>
                <w:sz w:val="24"/>
                <w:szCs w:val="24"/>
              </w:rPr>
              <w:t>5</w:t>
            </w:r>
            <w:r>
              <w:rPr>
                <w:rFonts w:ascii="宋体" w:hAnsi="宋体" w:cs="宋体"/>
                <w:bCs/>
                <w:sz w:val="24"/>
                <w:szCs w:val="24"/>
              </w:rPr>
              <w:t>.</w:t>
            </w:r>
            <w:r>
              <w:rPr>
                <w:rFonts w:hint="eastAsia" w:ascii="宋体" w:hAnsi="宋体" w:cs="宋体"/>
                <w:bCs/>
                <w:sz w:val="24"/>
                <w:szCs w:val="24"/>
                <w:lang w:val="en-US" w:eastAsia="zh-CN"/>
              </w:rPr>
              <w:t>2供应商</w:t>
            </w:r>
            <w:r>
              <w:rPr>
                <w:rFonts w:hint="eastAsia" w:ascii="宋体" w:hAnsi="宋体" w:cs="宋体"/>
                <w:bCs/>
                <w:sz w:val="24"/>
                <w:szCs w:val="24"/>
              </w:rPr>
              <w:t>自2020年1月1日以来，获得省级建设主管部门或省级行业主管协会(如建设工程造价管理协会、建设工程咨询行业协会、建筑业协会等) 荣誉表彰的，每有一个得</w:t>
            </w:r>
            <w:r>
              <w:rPr>
                <w:rFonts w:hint="eastAsia" w:ascii="宋体" w:hAnsi="宋体" w:cs="宋体"/>
                <w:bCs/>
                <w:sz w:val="24"/>
                <w:szCs w:val="24"/>
                <w:lang w:val="en-US" w:eastAsia="zh-CN"/>
              </w:rPr>
              <w:t>6</w:t>
            </w:r>
            <w:r>
              <w:rPr>
                <w:rFonts w:hint="eastAsia" w:ascii="宋体" w:hAnsi="宋体" w:cs="宋体"/>
                <w:bCs/>
                <w:sz w:val="24"/>
                <w:szCs w:val="24"/>
              </w:rPr>
              <w:t>分，最多得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tabs>
                <w:tab w:val="left" w:pos="0"/>
                <w:tab w:val="left" w:pos="993"/>
                <w:tab w:val="left" w:pos="1134"/>
              </w:tabs>
              <w:kinsoku/>
              <w:wordWrap/>
              <w:overflowPunct/>
              <w:topLinePunct w:val="0"/>
              <w:autoSpaceDE/>
              <w:autoSpaceDN/>
              <w:bidi w:val="0"/>
              <w:adjustRightInd/>
              <w:spacing w:line="440" w:lineRule="exact"/>
              <w:jc w:val="left"/>
              <w:textAlignment w:val="auto"/>
              <w:rPr>
                <w:rFonts w:ascii="宋体" w:hAnsi="宋体" w:cs="宋体"/>
                <w:bCs/>
                <w:sz w:val="24"/>
                <w:szCs w:val="24"/>
              </w:rPr>
            </w:pPr>
            <w:r>
              <w:rPr>
                <w:rFonts w:hint="eastAsia" w:ascii="宋体" w:hAnsi="宋体" w:cs="宋体"/>
                <w:bCs/>
                <w:sz w:val="24"/>
                <w:szCs w:val="24"/>
              </w:rPr>
              <w:t>本项合计最多得</w:t>
            </w:r>
            <w:r>
              <w:rPr>
                <w:rFonts w:hint="eastAsia" w:ascii="宋体" w:hAnsi="宋体" w:cs="宋体"/>
                <w:bCs/>
                <w:sz w:val="24"/>
                <w:szCs w:val="24"/>
                <w:lang w:val="en-US" w:eastAsia="zh-CN"/>
              </w:rPr>
              <w:t>12</w:t>
            </w:r>
            <w:r>
              <w:rPr>
                <w:rFonts w:hint="eastAsia" w:ascii="宋体" w:hAnsi="宋体" w:cs="宋体"/>
                <w:bCs/>
                <w:sz w:val="24"/>
                <w:szCs w:val="24"/>
              </w:rPr>
              <w:t>分。</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pPr>
            <w:r>
              <w:rPr>
                <w:rFonts w:hint="eastAsia" w:ascii="宋体" w:hAnsi="宋体" w:cs="宋体"/>
                <w:b/>
                <w:bCs/>
                <w:color w:val="FF0000"/>
                <w:sz w:val="24"/>
                <w:szCs w:val="24"/>
              </w:rPr>
              <w:t>注：</w:t>
            </w:r>
            <w:r>
              <w:rPr>
                <w:rFonts w:hint="eastAsia" w:ascii="宋体" w:hAnsi="宋体" w:cs="宋体"/>
                <w:b/>
                <w:bCs/>
                <w:color w:val="FF0000"/>
                <w:sz w:val="24"/>
                <w:szCs w:val="24"/>
                <w:lang w:val="en-US" w:eastAsia="zh-CN"/>
              </w:rPr>
              <w:t>响应</w:t>
            </w:r>
            <w:r>
              <w:rPr>
                <w:rFonts w:hint="eastAsia" w:ascii="宋体" w:hAnsi="宋体" w:cs="宋体"/>
                <w:b/>
                <w:bCs/>
                <w:color w:val="FF0000"/>
                <w:sz w:val="24"/>
                <w:szCs w:val="24"/>
              </w:rPr>
              <w:t>文件中须提供表彰证书或表彰文件等相关材料扫描件，时间以表彰证书颁发或表彰文件公布时间为准。以上所述协会必须为“中国社会组织政务服务平台”公布的协会，评审时仅以开标当日"中国社会组织政务服务平台"网站公布的协会为准，该平台上查询不到的，评审委员会不予计分。 投标文件中未提供或提供不符合要求的，评审委员会不予计分。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801" w:hRule="atLeast"/>
          <w:jc w:val="center"/>
        </w:trPr>
        <w:tc>
          <w:tcPr>
            <w:tcW w:w="367" w:type="pct"/>
            <w:vAlign w:val="center"/>
          </w:tcPr>
          <w:p>
            <w:pPr>
              <w:spacing w:line="360" w:lineRule="auto"/>
              <w:jc w:val="center"/>
              <w:rPr>
                <w:rFonts w:hint="eastAsia" w:ascii="宋体" w:hAnsi="宋体" w:cs="宋体" w:eastAsiaTheme="minorEastAsia"/>
                <w:bCs/>
                <w:sz w:val="24"/>
                <w:szCs w:val="24"/>
                <w:lang w:val="en-US" w:eastAsia="zh-CN"/>
              </w:rPr>
            </w:pPr>
            <w:r>
              <w:rPr>
                <w:rFonts w:hint="eastAsia" w:ascii="宋体" w:hAnsi="宋体" w:cs="宋体"/>
                <w:bCs/>
                <w:sz w:val="24"/>
                <w:szCs w:val="24"/>
                <w:lang w:val="en-US" w:eastAsia="zh-CN"/>
              </w:rPr>
              <w:t>6</w:t>
            </w:r>
          </w:p>
        </w:tc>
        <w:tc>
          <w:tcPr>
            <w:tcW w:w="502" w:type="pct"/>
            <w:vAlign w:val="center"/>
          </w:tcPr>
          <w:p>
            <w:pPr>
              <w:spacing w:line="360" w:lineRule="auto"/>
              <w:jc w:val="center"/>
              <w:rPr>
                <w:sz w:val="24"/>
                <w:szCs w:val="24"/>
              </w:rPr>
            </w:pPr>
            <w:r>
              <w:rPr>
                <w:rFonts w:hint="eastAsia" w:ascii="宋体" w:hAnsi="宋体" w:cs="宋体"/>
                <w:bCs/>
                <w:sz w:val="24"/>
                <w:szCs w:val="24"/>
              </w:rPr>
              <w:t>价格</w:t>
            </w:r>
          </w:p>
        </w:tc>
        <w:tc>
          <w:tcPr>
            <w:tcW w:w="530" w:type="pct"/>
            <w:vAlign w:val="center"/>
          </w:tcPr>
          <w:p>
            <w:pPr>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20</w:t>
            </w:r>
          </w:p>
        </w:tc>
        <w:tc>
          <w:tcPr>
            <w:tcW w:w="3599" w:type="pct"/>
            <w:vAlign w:val="center"/>
          </w:tcPr>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ascii="宋体" w:hAnsi="宋体" w:cs="宋体"/>
                <w:bCs/>
                <w:sz w:val="24"/>
                <w:szCs w:val="24"/>
              </w:rPr>
              <w:t>6</w:t>
            </w:r>
            <w:r>
              <w:rPr>
                <w:rFonts w:hint="eastAsia" w:ascii="宋体" w:hAnsi="宋体" w:cs="宋体"/>
                <w:bCs/>
                <w:sz w:val="24"/>
                <w:szCs w:val="24"/>
              </w:rPr>
              <w:t>.1评标基准价=有效报价</w:t>
            </w:r>
            <w:r>
              <w:rPr>
                <w:rFonts w:hint="eastAsia" w:ascii="宋体" w:hAnsi="宋体" w:cs="宋体"/>
                <w:bCs/>
                <w:sz w:val="24"/>
                <w:szCs w:val="24"/>
                <w:lang w:val="en-US" w:eastAsia="zh-CN"/>
              </w:rPr>
              <w:t>供应商</w:t>
            </w:r>
            <w:r>
              <w:rPr>
                <w:rFonts w:hint="eastAsia" w:ascii="宋体" w:hAnsi="宋体" w:cs="宋体"/>
                <w:bCs/>
                <w:sz w:val="24"/>
                <w:szCs w:val="24"/>
              </w:rPr>
              <w:t>的技术部分前三名报价</w:t>
            </w:r>
            <w:r>
              <w:rPr>
                <w:rFonts w:hint="eastAsia" w:ascii="宋体" w:hAnsi="宋体" w:cs="宋体"/>
                <w:bCs/>
                <w:sz w:val="24"/>
                <w:szCs w:val="24"/>
                <w:lang w:val="en-US" w:eastAsia="zh-CN"/>
              </w:rPr>
              <w:t>平均价作为基准价</w:t>
            </w:r>
            <w:r>
              <w:rPr>
                <w:rFonts w:hint="eastAsia" w:ascii="宋体" w:hAnsi="宋体" w:cs="宋体"/>
                <w:bCs/>
                <w:sz w:val="24"/>
                <w:szCs w:val="24"/>
              </w:rPr>
              <w:t>，有效投标报价等于评标基准价得满分</w:t>
            </w:r>
            <w:r>
              <w:rPr>
                <w:rFonts w:hint="eastAsia" w:ascii="宋体" w:hAnsi="宋体" w:cs="宋体"/>
                <w:bCs/>
                <w:sz w:val="24"/>
                <w:szCs w:val="24"/>
                <w:lang w:val="en-US" w:eastAsia="zh-CN"/>
              </w:rPr>
              <w:t>20</w:t>
            </w:r>
            <w:r>
              <w:rPr>
                <w:rFonts w:hint="eastAsia" w:ascii="宋体" w:hAnsi="宋体" w:cs="宋体"/>
                <w:bCs/>
                <w:sz w:val="24"/>
                <w:szCs w:val="24"/>
              </w:rPr>
              <w:t>分，每高于评标基准价1%扣0.</w:t>
            </w:r>
            <w:r>
              <w:rPr>
                <w:rFonts w:hint="eastAsia" w:ascii="宋体" w:hAnsi="宋体" w:cs="宋体"/>
                <w:bCs/>
                <w:sz w:val="24"/>
                <w:szCs w:val="24"/>
                <w:lang w:val="en-US" w:eastAsia="zh-CN"/>
              </w:rPr>
              <w:t>4</w:t>
            </w:r>
            <w:r>
              <w:rPr>
                <w:rFonts w:hint="eastAsia" w:ascii="宋体" w:hAnsi="宋体" w:cs="宋体"/>
                <w:bCs/>
                <w:sz w:val="24"/>
                <w:szCs w:val="24"/>
              </w:rPr>
              <w:t>分，每低于评标基准价1%扣0.</w:t>
            </w:r>
            <w:r>
              <w:rPr>
                <w:rFonts w:hint="eastAsia" w:ascii="宋体" w:hAnsi="宋体" w:cs="宋体"/>
                <w:bCs/>
                <w:sz w:val="24"/>
                <w:szCs w:val="24"/>
                <w:lang w:val="en-US" w:eastAsia="zh-CN"/>
              </w:rPr>
              <w:t>2</w:t>
            </w:r>
            <w:r>
              <w:rPr>
                <w:rFonts w:hint="eastAsia" w:ascii="宋体" w:hAnsi="宋体" w:cs="宋体"/>
                <w:bCs/>
                <w:sz w:val="24"/>
                <w:szCs w:val="24"/>
              </w:rPr>
              <w:t>分，扣完为止。偏离值百分号前的数字保留小数点后2位数字，第3位四舍五入，偏离值不足1%的按直线插入法计算。</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ascii="宋体" w:hAnsi="宋体" w:cs="宋体"/>
                <w:bCs/>
                <w:sz w:val="24"/>
                <w:szCs w:val="24"/>
              </w:rPr>
            </w:pPr>
            <w:r>
              <w:rPr>
                <w:rFonts w:hint="eastAsia" w:ascii="宋体" w:hAnsi="宋体" w:cs="宋体"/>
                <w:bCs/>
                <w:sz w:val="24"/>
                <w:szCs w:val="24"/>
              </w:rPr>
              <w:t>投标报价得分计算方法如下：</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投标报价低于评标基准价的，投标报价得分=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-[（评标基准价-投标报价）/评标基准价]×100×0.</w:t>
            </w:r>
            <w:r>
              <w:rPr>
                <w:rFonts w:hint="eastAsia" w:ascii="宋体" w:hAnsi="宋体" w:cs="宋体"/>
                <w:bCs/>
                <w:sz w:val="24"/>
                <w:szCs w:val="24"/>
                <w:lang w:val="en-US" w:eastAsia="zh-CN"/>
              </w:rPr>
              <w:t>2</w:t>
            </w:r>
          </w:p>
          <w:p>
            <w:pPr>
              <w:keepNext w:val="0"/>
              <w:keepLines w:val="0"/>
              <w:pageBreakBefore w:val="0"/>
              <w:widowControl w:val="0"/>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bCs/>
                <w:sz w:val="24"/>
                <w:szCs w:val="24"/>
                <w:lang w:eastAsia="zh-CN"/>
              </w:rPr>
            </w:pPr>
            <w:r>
              <w:rPr>
                <w:rFonts w:hint="eastAsia" w:ascii="宋体" w:hAnsi="宋体" w:cs="宋体"/>
                <w:bCs/>
                <w:sz w:val="24"/>
                <w:szCs w:val="24"/>
              </w:rPr>
              <w:t>投标报价高于评标基准价的，投标报价得分=</w:t>
            </w:r>
            <w:r>
              <w:rPr>
                <w:rFonts w:hint="eastAsia" w:ascii="宋体" w:hAnsi="宋体" w:cs="宋体"/>
                <w:bCs/>
                <w:sz w:val="24"/>
                <w:szCs w:val="24"/>
                <w:lang w:val="en-US" w:eastAsia="zh-CN"/>
              </w:rPr>
              <w:t>20</w:t>
            </w:r>
            <w:r>
              <w:rPr>
                <w:rFonts w:hint="eastAsia" w:ascii="宋体" w:hAnsi="宋体" w:cs="宋体"/>
                <w:bCs/>
                <w:sz w:val="24"/>
                <w:szCs w:val="24"/>
              </w:rPr>
              <w:t>-[（投标报价-评标基准价）/评标基准价]×100×0.</w:t>
            </w:r>
            <w:r>
              <w:rPr>
                <w:rFonts w:hint="eastAsia" w:ascii="宋体" w:hAnsi="宋体" w:cs="宋体"/>
                <w:bCs/>
                <w:sz w:val="24"/>
                <w:szCs w:val="24"/>
                <w:lang w:val="en-US" w:eastAsia="zh-CN"/>
              </w:rPr>
              <w:t>4</w:t>
            </w:r>
          </w:p>
          <w:p>
            <w:pPr>
              <w:pStyle w:val="2"/>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ascii="宋体" w:hAnsi="宋体" w:eastAsia="宋体"/>
                <w:b w:val="0"/>
                <w:sz w:val="24"/>
                <w:szCs w:val="24"/>
              </w:rPr>
            </w:pPr>
            <w:r>
              <w:rPr>
                <w:rFonts w:ascii="宋体" w:hAnsi="宋体" w:cs="宋体"/>
                <w:bCs/>
                <w:sz w:val="24"/>
                <w:szCs w:val="24"/>
              </w:rPr>
              <w:t>6.2</w:t>
            </w:r>
            <w:r>
              <w:rPr>
                <w:rFonts w:hint="eastAsia" w:ascii="宋体" w:hAnsi="宋体" w:cs="宋体"/>
                <w:bCs/>
                <w:sz w:val="24"/>
                <w:szCs w:val="24"/>
              </w:rPr>
              <w:t>报价高于最高投标限价的为无效报价，无效报价不参与评审。</w:t>
            </w:r>
          </w:p>
        </w:tc>
      </w:tr>
    </w:tbl>
    <w:p>
      <w:pPr>
        <w:rPr>
          <w:rFonts w:hint="eastAsia"/>
          <w:sz w:val="28"/>
          <w:szCs w:val="28"/>
        </w:rPr>
      </w:pPr>
      <w:r>
        <w:rPr>
          <w:rFonts w:hint="eastAsia"/>
          <w:sz w:val="28"/>
          <w:szCs w:val="28"/>
        </w:rPr>
        <w:t>注：</w:t>
      </w:r>
    </w:p>
    <w:p>
      <w:pPr>
        <w:rPr>
          <w:rFonts w:hint="eastAsia"/>
          <w:sz w:val="28"/>
          <w:szCs w:val="28"/>
        </w:rPr>
      </w:pPr>
      <w:r>
        <w:rPr>
          <w:rFonts w:hint="eastAsia"/>
          <w:sz w:val="28"/>
          <w:szCs w:val="28"/>
        </w:rPr>
        <w:t>1、评审事宜：</w:t>
      </w:r>
    </w:p>
    <w:p>
      <w:pPr>
        <w:ind w:firstLine="560" w:firstLineChars="200"/>
        <w:rPr>
          <w:rFonts w:hint="eastAsia"/>
          <w:sz w:val="28"/>
          <w:szCs w:val="28"/>
        </w:rPr>
      </w:pPr>
      <w:r>
        <w:rPr>
          <w:rFonts w:hint="eastAsia"/>
          <w:sz w:val="28"/>
          <w:szCs w:val="28"/>
        </w:rPr>
        <w:t>（1）本次评审采用综合评分法。评审委员对满足实质性要求的响应文件，按照规定的评分标准进行打分，并按得分由高到低顺序推荐成交供应商或确定成交候选供应商的顺序。</w:t>
      </w:r>
    </w:p>
    <w:p>
      <w:pPr>
        <w:ind w:firstLine="560" w:firstLineChars="200"/>
        <w:rPr>
          <w:rFonts w:hint="eastAsia"/>
          <w:sz w:val="28"/>
          <w:szCs w:val="28"/>
        </w:rPr>
      </w:pPr>
      <w:r>
        <w:rPr>
          <w:rFonts w:hint="eastAsia"/>
          <w:sz w:val="28"/>
          <w:szCs w:val="28"/>
        </w:rPr>
        <w:t>（2）在评审过程中，评审委员发现</w:t>
      </w:r>
      <w:r>
        <w:rPr>
          <w:rFonts w:hint="eastAsia"/>
          <w:sz w:val="28"/>
          <w:szCs w:val="28"/>
          <w:lang w:val="en-US" w:eastAsia="zh-CN"/>
        </w:rPr>
        <w:t>供应商</w:t>
      </w:r>
      <w:r>
        <w:rPr>
          <w:rFonts w:hint="eastAsia"/>
          <w:sz w:val="28"/>
          <w:szCs w:val="28"/>
        </w:rPr>
        <w:t>的报价明显不合理或者明显低于其他投标报价，有可能影响服务质量和不能诚信履约的，应当要求其予以解释说明，并提交相关证明材料；否则，评委会可以认定该投标报价为无效报价，作否决投标处理，且不参与评标基准价的计算。投标人投标时，自行决定是否另行携带投标报价合理性的证明材料，投标人单方面承担由于未携带证明材料而产生的一切风险和后果。</w:t>
      </w:r>
    </w:p>
    <w:p>
      <w:pPr>
        <w:ind w:firstLine="560" w:firstLineChars="200"/>
        <w:rPr>
          <w:rFonts w:hint="eastAsia"/>
          <w:sz w:val="28"/>
          <w:szCs w:val="28"/>
        </w:rPr>
      </w:pPr>
      <w:r>
        <w:rPr>
          <w:rFonts w:hint="eastAsia"/>
          <w:sz w:val="28"/>
          <w:szCs w:val="28"/>
        </w:rPr>
        <w:t>（3）供应商的最终得分为各评委总分的算术平均分，分数出现小数点，保留小数点后两位，第三位小数四舍五入。</w:t>
      </w:r>
    </w:p>
    <w:p>
      <w:pPr>
        <w:ind w:firstLine="560" w:firstLineChars="200"/>
        <w:rPr>
          <w:rFonts w:hint="eastAsia"/>
          <w:sz w:val="28"/>
          <w:szCs w:val="28"/>
        </w:rPr>
      </w:pPr>
      <w:r>
        <w:rPr>
          <w:rFonts w:hint="eastAsia"/>
          <w:sz w:val="28"/>
          <w:szCs w:val="28"/>
        </w:rPr>
        <w:t xml:space="preserve">（4）响应文件中提供的证明材料（文字、图片）不完整、模糊不清、不准确，造成评审小组的误评、错评及不利的评审后果由供应商自行承担。 </w:t>
      </w:r>
    </w:p>
    <w:p>
      <w:pPr>
        <w:ind w:firstLine="560" w:firstLineChars="200"/>
        <w:rPr>
          <w:rFonts w:hint="eastAsia"/>
          <w:sz w:val="28"/>
          <w:szCs w:val="28"/>
        </w:rPr>
      </w:pPr>
      <w:r>
        <w:rPr>
          <w:rFonts w:hint="eastAsia"/>
          <w:sz w:val="28"/>
          <w:szCs w:val="28"/>
        </w:rPr>
        <w:t xml:space="preserve">（5）响应文件中提供的证明材料（文字、图片）须保证真实有效，如发现与事实不符，采购人有权取消成交供应商资格。 </w:t>
      </w:r>
    </w:p>
    <w:p>
      <w:pPr>
        <w:rPr>
          <w:rFonts w:hint="eastAsia"/>
          <w:sz w:val="28"/>
          <w:szCs w:val="28"/>
        </w:rPr>
      </w:pPr>
      <w:r>
        <w:rPr>
          <w:rFonts w:hint="eastAsia"/>
          <w:sz w:val="28"/>
          <w:szCs w:val="28"/>
        </w:rPr>
        <w:t>2、其它补充事宜：</w:t>
      </w:r>
    </w:p>
    <w:p>
      <w:pPr>
        <w:ind w:firstLine="560" w:firstLineChars="200"/>
        <w:rPr>
          <w:rFonts w:hint="eastAsia"/>
          <w:sz w:val="28"/>
          <w:szCs w:val="28"/>
        </w:rPr>
      </w:pPr>
      <w:r>
        <w:rPr>
          <w:rFonts w:hint="eastAsia"/>
          <w:sz w:val="28"/>
          <w:szCs w:val="28"/>
        </w:rPr>
        <w:t>（1）本项目不收投标保证金；</w:t>
      </w:r>
    </w:p>
    <w:p>
      <w:pPr>
        <w:ind w:firstLine="560" w:firstLineChars="200"/>
        <w:rPr>
          <w:rFonts w:hint="eastAsia"/>
          <w:sz w:val="28"/>
          <w:szCs w:val="28"/>
        </w:rPr>
      </w:pPr>
      <w:r>
        <w:rPr>
          <w:rFonts w:hint="eastAsia"/>
          <w:sz w:val="28"/>
          <w:szCs w:val="28"/>
        </w:rPr>
        <w:t>（2）履约保证金按照签约合同价的5%收取；</w:t>
      </w:r>
    </w:p>
    <w:p>
      <w:pPr>
        <w:ind w:firstLine="560" w:firstLineChars="200"/>
        <w:rPr>
          <w:rFonts w:hint="eastAsia"/>
          <w:sz w:val="28"/>
          <w:szCs w:val="28"/>
        </w:rPr>
      </w:pPr>
      <w:r>
        <w:rPr>
          <w:rFonts w:hint="eastAsia"/>
          <w:sz w:val="28"/>
          <w:szCs w:val="28"/>
        </w:rPr>
        <w:t>（3）通过资格性审查的供应商不足3家的，将终止采购活动。</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7831F"/>
    <w:multiLevelType w:val="singleLevel"/>
    <w:tmpl w:val="E5E7831F"/>
    <w:lvl w:ilvl="0" w:tentative="0">
      <w:start w:val="1"/>
      <w:numFmt w:val="chineseCounting"/>
      <w:suff w:val="nothing"/>
      <w:lvlText w:val="%1、"/>
      <w:lvlJc w:val="left"/>
      <w:rPr>
        <w:rFonts w:hint="eastAsia"/>
      </w:rPr>
    </w:lvl>
  </w:abstractNum>
  <w:abstractNum w:abstractNumId="1">
    <w:nsid w:val="0C70DBDB"/>
    <w:multiLevelType w:val="singleLevel"/>
    <w:tmpl w:val="0C70DBDB"/>
    <w:lvl w:ilvl="0" w:tentative="0">
      <w:start w:val="1"/>
      <w:numFmt w:val="decimal"/>
      <w:suff w:val="nothing"/>
      <w:lvlText w:val="（%1）"/>
      <w:lvlJc w:val="left"/>
    </w:lvl>
  </w:abstractNum>
  <w:abstractNum w:abstractNumId="2">
    <w:nsid w:val="68946038"/>
    <w:multiLevelType w:val="singleLevel"/>
    <w:tmpl w:val="68946038"/>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4Mzk3ZmVlYjRlYjdlNGQ1YThlYTNkYTg2ZTM1MTEifQ=="/>
  </w:docVars>
  <w:rsids>
    <w:rsidRoot w:val="368706EE"/>
    <w:rsid w:val="096C7621"/>
    <w:rsid w:val="194750F2"/>
    <w:rsid w:val="2F775BA3"/>
    <w:rsid w:val="36670F77"/>
    <w:rsid w:val="368706EE"/>
    <w:rsid w:val="6EAF3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rPr>
  </w:style>
  <w:style w:type="paragraph" w:styleId="5">
    <w:name w:val="toc 6"/>
    <w:next w:val="1"/>
    <w:semiHidden/>
    <w:qFormat/>
    <w:uiPriority w:val="0"/>
    <w:pPr>
      <w:widowControl w:val="0"/>
      <w:ind w:left="1050"/>
      <w:jc w:val="left"/>
    </w:pPr>
    <w:rPr>
      <w:rFonts w:ascii="Calibri" w:hAnsi="Calibri" w:eastAsia="宋体" w:cs="Times New Roman"/>
      <w:kern w:val="2"/>
      <w:sz w:val="18"/>
      <w:szCs w:val="18"/>
      <w:lang w:val="en-US" w:eastAsia="zh-CN" w:bidi="ar-SA"/>
    </w:rPr>
  </w:style>
  <w:style w:type="paragraph" w:styleId="6">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7">
    <w:name w:val="Body Text First Indent"/>
    <w:next w:val="5"/>
    <w:qFormat/>
    <w:uiPriority w:val="0"/>
    <w:pPr>
      <w:widowControl w:val="0"/>
      <w:spacing w:after="120" w:afterLines="0"/>
      <w:ind w:firstLine="420" w:firstLineChars="100"/>
      <w:jc w:val="both"/>
    </w:pPr>
    <w:rPr>
      <w:rFonts w:ascii="Arial" w:hAnsi="Arial" w:eastAsia="宋体" w:cs="Times New Roman"/>
      <w:kern w:val="2"/>
      <w:sz w:val="21"/>
      <w:szCs w:val="24"/>
      <w:lang w:val="en-US" w:eastAsia="zh-CN" w:bidi="ar-SA"/>
    </w:rPr>
  </w:style>
  <w:style w:type="paragraph" w:styleId="8">
    <w:name w:val="Body Text First Indent 2"/>
    <w:basedOn w:val="3"/>
    <w:qFormat/>
    <w:uiPriority w:val="0"/>
    <w:pPr>
      <w:tabs>
        <w:tab w:val="left" w:pos="0"/>
        <w:tab w:val="left" w:pos="993"/>
        <w:tab w:val="left" w:pos="1134"/>
      </w:tabs>
      <w:spacing w:line="360" w:lineRule="auto"/>
      <w:ind w:firstLine="0"/>
      <w:jc w:val="left"/>
    </w:pPr>
    <w:rPr>
      <w:rFonts w:ascii="宋体" w:hAnsi="宋体" w:cs="宋体"/>
      <w:szCs w:val="2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2023-10-27T06:59:00Z</dcterms:created>
  <dc:creator>qianjin</dc:creator>
  <cp:lastModifiedBy>qianjin</cp:lastModifiedBy>
  <cp:lastPrinted>2023-12-11T07:50:00Z</cp:lastPrinted>
  <dcterms:modified xsi:type="dcterms:W3CDTF">2023-12-12T09:17:44Z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84D56F4EAA1A44DB933E48B3867D4742_13</vt:lpwstr>
  </property>
</Properties>
</file>