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1、项目基本情况：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default"/>
          <w:sz w:val="28"/>
          <w:szCs w:val="28"/>
          <w:lang w:val="en-US" w:eastAsia="zh-CN"/>
        </w:rPr>
        <w:t>文昌宫农贸市场、醉仙楼装饰装修工程：合计约460万元；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</w:t>
      </w:r>
      <w:r>
        <w:rPr>
          <w:rFonts w:hint="default"/>
          <w:sz w:val="28"/>
          <w:szCs w:val="28"/>
          <w:lang w:val="en-US" w:eastAsia="zh-CN"/>
        </w:rPr>
        <w:t>4D影院规划馆工程：262.42万元；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皖江大市场消防改造工程：27.6万元。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和县规划科技馆4D影院等项目实施结算审计，出具审核意见书。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支付方式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出具结算审计报告后一次性支付。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（1）本项目参照和县审计局框架协议内约定的决算审计收费标准为基础，以折扣率报价。</w:t>
      </w:r>
      <w:r>
        <w:rPr>
          <w:rFonts w:hint="default"/>
          <w:sz w:val="28"/>
          <w:szCs w:val="28"/>
          <w:lang w:val="en-US" w:eastAsia="zh-CN"/>
        </w:rPr>
        <w:t>工程价款结算：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①基本费用：按送审金额分段累进，送审金额在500万元（不含）以下项目按送审金额1‰计算；500万元（含）以上-1000 万元（不含）以下项目按送审金额0.75‰计算；1000万元（含）以上项目按送审金额0.5‰计算。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②核减费用：按审计核减金额的3%计费；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③最终结算审核费用=基本费用*对应投标折扣率+核减费*对应投标折扣率；注：审减额为净核减额，审增额不支付服务费</w:t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④最低保障收费为1000元。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（2）投标人投标报价应为完成该服务项目的所有费用，包含但不限于办公场地费、交通费、食宿费、会务费、专家费、资料费以及其他为完成本服务项目产生的所有费用。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（3）为避免恶意报价，针对满足资格要求的单位进行报价筛选。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筛选方法：设置预警价。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预警价=（A</w:t>
      </w:r>
      <w:r>
        <w:rPr>
          <w:rFonts w:hint="eastAsia"/>
          <w:sz w:val="28"/>
          <w:szCs w:val="28"/>
          <w:vertAlign w:val="subscript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+A</w:t>
      </w:r>
      <w:r>
        <w:rPr>
          <w:rFonts w:hint="eastAsia"/>
          <w:sz w:val="28"/>
          <w:szCs w:val="28"/>
          <w:vertAlign w:val="subscript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>+A</w:t>
      </w:r>
      <w:r>
        <w:rPr>
          <w:rFonts w:hint="eastAsia"/>
          <w:sz w:val="28"/>
          <w:szCs w:val="28"/>
          <w:vertAlign w:val="subscript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+...+A</w:t>
      </w:r>
      <w:r>
        <w:rPr>
          <w:rFonts w:hint="eastAsia"/>
          <w:sz w:val="28"/>
          <w:szCs w:val="28"/>
          <w:vertAlign w:val="subscript"/>
          <w:lang w:val="en-US" w:eastAsia="zh-CN"/>
        </w:rPr>
        <w:t>n</w:t>
      </w:r>
      <w:r>
        <w:rPr>
          <w:rFonts w:hint="eastAsia"/>
          <w:sz w:val="28"/>
          <w:szCs w:val="28"/>
          <w:lang w:val="en-US" w:eastAsia="zh-CN"/>
        </w:rPr>
        <w:t>）/n*K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A为投标人有效报价，n为投标人数量，K为基准价系数，取值为（94~96）%，由评委组长开标前公开抽取；低于预警价的做无效标处理。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满足资格要求的有效投标中最低价中标，若最低价存在多位候选人，则选用摇号或抽签方式决定。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default"/>
          <w:sz w:val="28"/>
          <w:szCs w:val="28"/>
          <w:lang w:val="en-US" w:eastAsia="zh-CN"/>
        </w:rPr>
        <w:t>、回避单位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本次投标单位不得为本项目涉及的施工单位、跟踪</w:t>
      </w:r>
      <w:r>
        <w:rPr>
          <w:rFonts w:hint="eastAsia"/>
          <w:sz w:val="28"/>
          <w:szCs w:val="28"/>
          <w:lang w:val="en-US" w:eastAsia="zh-CN"/>
        </w:rPr>
        <w:t>审计</w:t>
      </w:r>
      <w:r>
        <w:rPr>
          <w:rFonts w:hint="default"/>
          <w:sz w:val="28"/>
          <w:szCs w:val="28"/>
          <w:lang w:val="en-US" w:eastAsia="zh-CN"/>
        </w:rPr>
        <w:t>单位、设计单位、监理单位，否则视为无效投标。具体单位见下</w:t>
      </w:r>
      <w:r>
        <w:rPr>
          <w:rFonts w:hint="eastAsia"/>
          <w:sz w:val="28"/>
          <w:szCs w:val="28"/>
          <w:lang w:val="en-US" w:eastAsia="zh-CN"/>
        </w:rPr>
        <w:t>表：</w:t>
      </w:r>
    </w:p>
    <w:tbl>
      <w:tblPr>
        <w:tblStyle w:val="2"/>
        <w:tblpPr w:leftFromText="180" w:rightFromText="180" w:vertAnchor="text" w:horzAnchor="page" w:tblpXSpec="center" w:tblpY="218"/>
        <w:tblOverlap w:val="never"/>
        <w:tblW w:w="10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2220"/>
        <w:gridCol w:w="1575"/>
        <w:gridCol w:w="1980"/>
        <w:gridCol w:w="1680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跟审单位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文昌宫农贸市场、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醉仙楼装饰装修工程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典筑设计集团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和县建设工程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监理有限公司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深圳群伦项目管理有限公司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南京苏侨好邻里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4D 影院规划馆工程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信宇腾远工程咨询集团有限公司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广州市影擎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皖江大市场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消防改造工程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合肥市警钟消防器材有限责任公司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6、其他未尽事宜在合同中另行规定。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D4B8E"/>
    <w:multiLevelType w:val="singleLevel"/>
    <w:tmpl w:val="883D4B8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3F8076"/>
    <w:multiLevelType w:val="singleLevel"/>
    <w:tmpl w:val="6C3F8076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14CE40D4"/>
    <w:rsid w:val="0C1F58C1"/>
    <w:rsid w:val="14CE40D4"/>
    <w:rsid w:val="3411452A"/>
    <w:rsid w:val="5B154209"/>
    <w:rsid w:val="7A92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2023-12-29T02:17:00Z</dcterms:created>
  <dc:creator>qianjin</dc:creator>
  <cp:lastModifiedBy>qianjin</cp:lastModifiedBy>
  <cp:lastPrinted>2024-01-04T07:51:00Z</cp:lastPrinted>
  <dcterms:modified xsi:type="dcterms:W3CDTF">2024-01-05T07:39:13Z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F4EA8B394618426DA0F4FB3BBBC912D9_11</vt:lpwstr>
  </property>
</Properties>
</file>