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和县中心城区黄泥巷片区城市更新项目可研编制服务</w:t>
      </w:r>
    </w:p>
    <w:p>
      <w:pPr>
        <w:jc w:val="center"/>
        <w:rPr>
          <w:b/>
          <w:bCs/>
          <w:sz w:val="32"/>
          <w:szCs w:val="32"/>
        </w:rPr>
      </w:pP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b/>
          <w:bCs/>
          <w:sz w:val="28"/>
          <w:szCs w:val="28"/>
        </w:rPr>
      </w:pPr>
      <w:r>
        <w:rPr>
          <w:rFonts w:hint="eastAsia"/>
          <w:b/>
          <w:bCs/>
          <w:sz w:val="28"/>
          <w:szCs w:val="28"/>
        </w:rPr>
        <w:t>项目基本情况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1.</w:t>
      </w:r>
      <w:r>
        <w:rPr>
          <w:rFonts w:hint="eastAsia"/>
          <w:sz w:val="28"/>
          <w:szCs w:val="28"/>
        </w:rPr>
        <w:t>项目名称：</w:t>
      </w:r>
      <w:r>
        <w:rPr>
          <w:rFonts w:hint="eastAsia"/>
          <w:sz w:val="28"/>
          <w:szCs w:val="28"/>
          <w:lang w:val="en-US" w:eastAsia="zh-CN"/>
        </w:rPr>
        <w:t>和县中心城区黄泥巷片区城市更新项目可研编制服务</w:t>
      </w:r>
      <w:r>
        <w:rPr>
          <w:rFonts w:hint="eastAsia"/>
          <w:sz w:val="28"/>
          <w:szCs w:val="28"/>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2.采购需求：对和县中心城区黄泥巷片区城市更新项目的区域现状、市场需求、建设方案、环境保护、投资估算、资金筹措、投资风险、盈利能力等进行针对性研究，提出建设可行性方案；</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3.服务期：合同签订后，10天内提交最终研究报告；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4.</w:t>
      </w:r>
      <w:r>
        <w:rPr>
          <w:rFonts w:hint="eastAsia"/>
          <w:sz w:val="28"/>
          <w:szCs w:val="28"/>
        </w:rPr>
        <w:t>采购预算（限价）：</w:t>
      </w:r>
      <w:r>
        <w:rPr>
          <w:rFonts w:hint="eastAsia"/>
          <w:sz w:val="28"/>
          <w:szCs w:val="28"/>
          <w:lang w:val="en-US" w:eastAsia="zh-CN"/>
        </w:rPr>
        <w:t>20</w:t>
      </w:r>
      <w:r>
        <w:rPr>
          <w:rFonts w:hint="eastAsia"/>
          <w:sz w:val="28"/>
          <w:szCs w:val="28"/>
        </w:rPr>
        <w:t>万元</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5.评审办法：综合评分法。</w:t>
      </w:r>
    </w:p>
    <w:p>
      <w:pPr>
        <w:rPr>
          <w:b/>
          <w:bCs/>
          <w:sz w:val="28"/>
          <w:szCs w:val="28"/>
        </w:rPr>
      </w:pPr>
      <w:r>
        <w:rPr>
          <w:rFonts w:hint="eastAsia"/>
          <w:b/>
          <w:bCs/>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具有独立承担民事责任的能力（具有独立法人资格的企业或具有经营资格能承担民事责任的事业单位，或其他组织形式的投标人）；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3.供应商须在“全国投资项目在线审批监管平台”备案，备案专业需包括建筑、市政公用工程；</w:t>
      </w:r>
    </w:p>
    <w:p>
      <w:pPr>
        <w:pStyle w:val="2"/>
        <w:ind w:firstLine="560" w:firstLineChars="200"/>
        <w:rPr>
          <w:rFonts w:hint="default"/>
          <w:lang w:val="en-US" w:eastAsia="zh-CN"/>
        </w:rPr>
      </w:pPr>
      <w:r>
        <w:rPr>
          <w:rFonts w:hint="eastAsia"/>
          <w:sz w:val="28"/>
          <w:szCs w:val="28"/>
          <w:lang w:val="en-US" w:eastAsia="zh-CN"/>
        </w:rPr>
        <w:t>4.具有建筑、公路、水利水电、市政公用工程等专业工程咨询甲级资信证书或工程咨询单位甲级综合资信。</w:t>
      </w:r>
    </w:p>
    <w:p>
      <w:pPr>
        <w:rPr>
          <w:b/>
          <w:bCs/>
          <w:sz w:val="28"/>
          <w:szCs w:val="28"/>
        </w:rPr>
      </w:pPr>
      <w:r>
        <w:rPr>
          <w:rFonts w:hint="eastAsia"/>
          <w:b/>
          <w:bCs/>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24</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黄泥巷可研编制+</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（1）具有独立承担民事责任的能力的证明材料（原件备查）；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b/>
          <w:bCs/>
          <w:sz w:val="28"/>
          <w:szCs w:val="28"/>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24</w:t>
      </w:r>
      <w:r>
        <w:rPr>
          <w:rFonts w:hint="eastAsia"/>
          <w:sz w:val="28"/>
          <w:szCs w:val="28"/>
        </w:rPr>
        <w:t>日</w:t>
      </w:r>
      <w:r>
        <w:rPr>
          <w:rFonts w:hint="eastAsia"/>
          <w:sz w:val="28"/>
          <w:szCs w:val="28"/>
          <w:lang w:val="en-US" w:eastAsia="zh-CN"/>
        </w:rPr>
        <w:t>17</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b/>
          <w:bCs/>
          <w:sz w:val="28"/>
          <w:szCs w:val="28"/>
        </w:rPr>
      </w:pPr>
      <w:r>
        <w:rPr>
          <w:rFonts w:hint="eastAsia"/>
          <w:b/>
          <w:bCs/>
          <w:sz w:val="28"/>
          <w:szCs w:val="28"/>
          <w:lang w:val="en-US" w:eastAsia="zh-CN"/>
        </w:rPr>
        <w:t>五</w:t>
      </w:r>
      <w:r>
        <w:rPr>
          <w:rFonts w:hint="eastAsia"/>
          <w:b/>
          <w:bCs/>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25</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4</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b/>
          <w:bCs/>
          <w:sz w:val="28"/>
          <w:szCs w:val="28"/>
        </w:rPr>
      </w:pPr>
      <w:r>
        <w:rPr>
          <w:rFonts w:hint="eastAsia"/>
          <w:b/>
          <w:bCs/>
          <w:sz w:val="28"/>
          <w:szCs w:val="28"/>
          <w:lang w:val="en-US" w:eastAsia="zh-CN"/>
        </w:rPr>
        <w:t>六</w:t>
      </w:r>
      <w:r>
        <w:rPr>
          <w:rFonts w:hint="eastAsia"/>
          <w:b/>
          <w:bCs/>
          <w:sz w:val="28"/>
          <w:szCs w:val="28"/>
        </w:rPr>
        <w:t>、开启</w:t>
      </w:r>
    </w:p>
    <w:p>
      <w:pPr>
        <w:ind w:firstLine="560" w:firstLineChars="200"/>
        <w:rPr>
          <w:sz w:val="28"/>
          <w:szCs w:val="28"/>
        </w:rPr>
      </w:pPr>
      <w:r>
        <w:rPr>
          <w:sz w:val="28"/>
          <w:szCs w:val="28"/>
        </w:rPr>
        <w:t>1</w:t>
      </w: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25</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b/>
          <w:bCs/>
          <w:sz w:val="28"/>
          <w:szCs w:val="28"/>
        </w:rPr>
      </w:pPr>
      <w:r>
        <w:rPr>
          <w:rFonts w:hint="eastAsia"/>
          <w:b/>
          <w:bCs/>
          <w:sz w:val="28"/>
          <w:szCs w:val="28"/>
          <w:lang w:val="en-US" w:eastAsia="zh-CN"/>
        </w:rPr>
        <w:t>七</w:t>
      </w:r>
      <w:r>
        <w:rPr>
          <w:rFonts w:hint="eastAsia"/>
          <w:b/>
          <w:bCs/>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b/>
          <w:bCs/>
          <w:sz w:val="28"/>
          <w:szCs w:val="28"/>
        </w:rPr>
      </w:pPr>
      <w:r>
        <w:rPr>
          <w:rFonts w:hint="eastAsia"/>
          <w:b/>
          <w:bCs/>
          <w:sz w:val="28"/>
          <w:szCs w:val="28"/>
          <w:lang w:val="en-US" w:eastAsia="zh-CN"/>
        </w:rPr>
        <w:t>八</w:t>
      </w:r>
      <w:r>
        <w:rPr>
          <w:rFonts w:hint="eastAsia"/>
          <w:b/>
          <w:bCs/>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马鞍山美和城乡建设有限公司</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吴挺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0555-3868715    0555-3868703</w:t>
      </w: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rFonts w:hint="eastAsia"/>
          <w:b/>
          <w:bCs/>
          <w:sz w:val="32"/>
          <w:szCs w:val="32"/>
        </w:rPr>
      </w:pPr>
    </w:p>
    <w:p>
      <w:pPr>
        <w:rPr>
          <w:rFonts w:hint="eastAsia"/>
          <w:b/>
          <w:bCs/>
          <w:sz w:val="32"/>
          <w:szCs w:val="32"/>
        </w:rPr>
      </w:pPr>
    </w:p>
    <w:p>
      <w:pPr>
        <w:rPr>
          <w:rFonts w:hint="eastAsia"/>
          <w:b/>
          <w:bCs/>
          <w:sz w:val="32"/>
          <w:szCs w:val="32"/>
        </w:rPr>
      </w:pPr>
    </w:p>
    <w:p>
      <w:pPr>
        <w:rPr>
          <w:rFonts w:hint="eastAsia"/>
          <w:b/>
          <w:bCs/>
          <w:sz w:val="32"/>
          <w:szCs w:val="32"/>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lang w:val="en-US" w:eastAsia="zh-CN"/>
              </w:rPr>
              <w:t>和县中心城区黄泥巷片区城市更新项目可研编制服务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和县中心城区黄泥巷片区城市更新项目可研编制服务</w:t>
      </w:r>
      <w:r>
        <w:rPr>
          <w:rFonts w:hint="eastAsia"/>
          <w:sz w:val="28"/>
          <w:szCs w:val="28"/>
        </w:rPr>
        <w:t>的供应商，我单位将承诺会按照公告的要求如期提供</w:t>
      </w:r>
      <w:r>
        <w:rPr>
          <w:rFonts w:hint="eastAsia"/>
          <w:sz w:val="28"/>
          <w:szCs w:val="28"/>
          <w:lang w:val="en-US" w:eastAsia="zh-CN"/>
        </w:rPr>
        <w:t>可研性报告。</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8"/>
        <w:rPr>
          <w:rFonts w:hint="eastAsia"/>
          <w:b/>
          <w:bCs/>
          <w:sz w:val="30"/>
          <w:szCs w:val="30"/>
          <w:lang w:val="en-US" w:eastAsia="zh-CN"/>
        </w:rPr>
      </w:pPr>
      <w:r>
        <w:rPr>
          <w:rFonts w:hint="eastAsia"/>
          <w:b/>
          <w:bCs/>
          <w:sz w:val="30"/>
          <w:szCs w:val="30"/>
          <w:lang w:val="en-US" w:eastAsia="zh-CN"/>
        </w:rPr>
        <w:t>附件2：</w:t>
      </w:r>
    </w:p>
    <w:p>
      <w:pPr>
        <w:pStyle w:val="8"/>
        <w:jc w:val="center"/>
        <w:rPr>
          <w:b/>
          <w:bCs/>
        </w:rPr>
      </w:pPr>
      <w:r>
        <w:rPr>
          <w:rFonts w:hint="eastAsia"/>
          <w:b/>
          <w:bCs/>
          <w:lang w:val="en-US" w:eastAsia="zh-CN"/>
        </w:rPr>
        <w:t>和县中心城区黄泥巷片区城市更新项目可研编制服务评审标准</w:t>
      </w:r>
    </w:p>
    <w:tbl>
      <w:tblPr>
        <w:tblStyle w:val="9"/>
        <w:tblW w:w="61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45"/>
        <w:gridCol w:w="1027"/>
        <w:gridCol w:w="1083"/>
        <w:gridCol w:w="7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4"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2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603"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29"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17</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rPr>
              <w:t>1.1对</w:t>
            </w:r>
            <w:r>
              <w:rPr>
                <w:rFonts w:hint="eastAsia" w:ascii="宋体" w:hAnsi="宋体"/>
                <w:sz w:val="24"/>
                <w:szCs w:val="24"/>
                <w:lang w:val="en-US" w:eastAsia="zh-CN"/>
              </w:rPr>
              <w:t>本项目的理解和总体设计思路、关键问题及对策措施进行分析</w:t>
            </w:r>
            <w:r>
              <w:rPr>
                <w:rFonts w:hint="eastAsia" w:ascii="宋体" w:hAnsi="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本项目情况分析</w:t>
            </w:r>
            <w:r>
              <w:rPr>
                <w:rFonts w:hint="eastAsia" w:ascii="宋体" w:hAnsi="宋体"/>
                <w:sz w:val="24"/>
                <w:szCs w:val="24"/>
                <w:lang w:eastAsia="zh-CN"/>
              </w:rPr>
              <w:t>内容完整全面、科学合理的得</w:t>
            </w:r>
            <w:r>
              <w:rPr>
                <w:rFonts w:hint="eastAsia" w:ascii="宋体" w:hAnsi="宋体"/>
                <w:sz w:val="24"/>
                <w:szCs w:val="24"/>
                <w:lang w:val="en-US" w:eastAsia="zh-CN"/>
              </w:rPr>
              <w:t>5-7</w:t>
            </w:r>
            <w:r>
              <w:rPr>
                <w:rFonts w:hint="eastAsia" w:ascii="宋体" w:hAnsi="宋体"/>
                <w:sz w:val="24"/>
                <w:szCs w:val="24"/>
                <w:lang w:eastAsia="zh-CN"/>
              </w:rPr>
              <w:t>分；</w:t>
            </w:r>
          </w:p>
          <w:p>
            <w:pPr>
              <w:keepNext w:val="0"/>
              <w:keepLines w:val="0"/>
              <w:pageBreakBefore w:val="0"/>
              <w:widowControl w:val="0"/>
              <w:numPr>
                <w:ilvl w:val="0"/>
                <w:numId w:val="2"/>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本项目情况分析</w:t>
            </w:r>
            <w:r>
              <w:rPr>
                <w:rFonts w:hint="eastAsia" w:ascii="宋体" w:hAnsi="宋体"/>
                <w:sz w:val="24"/>
                <w:szCs w:val="24"/>
                <w:lang w:eastAsia="zh-CN"/>
              </w:rPr>
              <w:t>内容较完整全面、较科学合理的，</w:t>
            </w:r>
            <w:r>
              <w:rPr>
                <w:rFonts w:hint="eastAsia" w:ascii="宋体" w:hAnsi="宋体"/>
                <w:sz w:val="24"/>
                <w:szCs w:val="24"/>
                <w:lang w:val="en-US" w:eastAsia="zh-CN"/>
              </w:rPr>
              <w:t>得3-4</w:t>
            </w:r>
            <w:r>
              <w:rPr>
                <w:rFonts w:hint="eastAsia" w:ascii="宋体" w:hAnsi="宋体"/>
                <w:sz w:val="24"/>
                <w:szCs w:val="24"/>
                <w:lang w:eastAsia="zh-CN"/>
              </w:rPr>
              <w:t>分；</w:t>
            </w:r>
          </w:p>
          <w:p>
            <w:pPr>
              <w:keepNext w:val="0"/>
              <w:keepLines w:val="0"/>
              <w:pageBreakBefore w:val="0"/>
              <w:widowControl w:val="0"/>
              <w:numPr>
                <w:ilvl w:val="0"/>
                <w:numId w:val="2"/>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本项目分析</w:t>
            </w:r>
            <w:r>
              <w:rPr>
                <w:rFonts w:hint="eastAsia" w:ascii="宋体" w:hAnsi="宋体"/>
                <w:sz w:val="24"/>
                <w:szCs w:val="24"/>
                <w:lang w:eastAsia="zh-CN"/>
              </w:rPr>
              <w:t>内容有待完善的得</w:t>
            </w:r>
            <w:r>
              <w:rPr>
                <w:rFonts w:hint="eastAsia" w:ascii="宋体" w:hAnsi="宋体"/>
                <w:sz w:val="24"/>
                <w:szCs w:val="24"/>
                <w:lang w:val="en-US" w:eastAsia="zh-CN"/>
              </w:rPr>
              <w:t>1-2</w:t>
            </w:r>
            <w:r>
              <w:rPr>
                <w:rFonts w:hint="eastAsia" w:ascii="宋体" w:hAnsi="宋体"/>
                <w:sz w:val="24"/>
                <w:szCs w:val="24"/>
                <w:lang w:eastAsia="zh-CN"/>
              </w:rPr>
              <w:t>分；</w:t>
            </w:r>
          </w:p>
          <w:p>
            <w:pPr>
              <w:keepNext w:val="0"/>
              <w:keepLines w:val="0"/>
              <w:pageBreakBefore w:val="0"/>
              <w:widowControl w:val="0"/>
              <w:numPr>
                <w:ilvl w:val="0"/>
                <w:numId w:val="2"/>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1.2对本项目工程的质量控制</w:t>
            </w:r>
            <w:r>
              <w:rPr>
                <w:rFonts w:hint="eastAsia" w:ascii="宋体" w:hAnsi="宋体"/>
                <w:sz w:val="24"/>
                <w:szCs w:val="24"/>
                <w:lang w:eastAsia="zh-CN"/>
              </w:rPr>
              <w:t>、</w:t>
            </w:r>
            <w:r>
              <w:rPr>
                <w:rFonts w:hint="eastAsia" w:ascii="宋体" w:hAnsi="宋体"/>
                <w:sz w:val="24"/>
                <w:szCs w:val="24"/>
                <w:lang w:val="en-US" w:eastAsia="zh-CN"/>
              </w:rPr>
              <w:t>进度计划及进度保证措施</w:t>
            </w:r>
            <w:r>
              <w:rPr>
                <w:rFonts w:hint="eastAsia" w:ascii="宋体" w:hAnsi="宋体"/>
                <w:sz w:val="24"/>
                <w:szCs w:val="24"/>
              </w:rPr>
              <w:t>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4-5</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rPr>
              <w:t>1.3对本项目制定的后续服务方案</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制定的后续服务方案</w:t>
            </w:r>
            <w:r>
              <w:rPr>
                <w:rFonts w:hint="eastAsia" w:ascii="宋体" w:hAnsi="宋体"/>
                <w:sz w:val="24"/>
                <w:szCs w:val="24"/>
              </w:rPr>
              <w:t>内容齐全、完整，操作性强，服务快捷、便利的得4-5分；</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制定的后续服务方案内容基本完整、操作性及便捷程度较为一般的得2-3分；内容不齐全、混乱，不能较为有效的开展后续服务的得0-1分：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（3）制定的后续服务方案内容欠缺、有待调整的得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numPr>
                <w:ilvl w:val="0"/>
                <w:numId w:val="0"/>
              </w:numPr>
              <w:spacing w:line="360" w:lineRule="auto"/>
              <w:ind w:left="0" w:leftChars="0" w:firstLine="0" w:firstLineChars="0"/>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w:t>
            </w:r>
          </w:p>
        </w:tc>
        <w:tc>
          <w:tcPr>
            <w:tcW w:w="502" w:type="pct"/>
            <w:vAlign w:val="center"/>
          </w:tcPr>
          <w:p>
            <w:pPr>
              <w:numPr>
                <w:ilvl w:val="0"/>
                <w:numId w:val="0"/>
              </w:numPr>
              <w:spacing w:line="360" w:lineRule="auto"/>
              <w:ind w:left="0" w:leftChars="0" w:firstLine="0" w:firstLineChars="0"/>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体系认证</w:t>
            </w:r>
          </w:p>
        </w:tc>
        <w:tc>
          <w:tcPr>
            <w:tcW w:w="529" w:type="pct"/>
            <w:vAlign w:val="center"/>
          </w:tcPr>
          <w:p>
            <w:pPr>
              <w:spacing w:line="360" w:lineRule="auto"/>
              <w:jc w:val="center"/>
              <w:rPr>
                <w:rFonts w:hint="eastAsia" w:ascii="宋体" w:hAnsi="宋体" w:eastAsia="宋体" w:cstheme="minorBidi"/>
                <w:bCs/>
                <w:kern w:val="2"/>
                <w:sz w:val="24"/>
                <w:szCs w:val="24"/>
                <w:lang w:val="en-US" w:eastAsia="zh-CN" w:bidi="ar-SA"/>
              </w:rPr>
            </w:pPr>
            <w:r>
              <w:rPr>
                <w:rFonts w:hint="eastAsia" w:ascii="宋体" w:hAnsi="宋体"/>
                <w:sz w:val="24"/>
                <w:szCs w:val="24"/>
                <w:lang w:val="en-US" w:eastAsia="zh-CN"/>
              </w:rPr>
              <w:t>3</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bCs/>
                <w:sz w:val="24"/>
                <w:szCs w:val="24"/>
                <w:lang w:val="en-US" w:eastAsia="zh-CN"/>
              </w:rPr>
            </w:pPr>
            <w:r>
              <w:rPr>
                <w:rFonts w:hint="eastAsia" w:ascii="宋体" w:hAnsi="宋体" w:cs="宋体"/>
                <w:sz w:val="24"/>
                <w:szCs w:val="24"/>
              </w:rPr>
              <w:t>5.</w:t>
            </w:r>
            <w:r>
              <w:rPr>
                <w:rFonts w:ascii="宋体" w:hAnsi="宋体" w:cs="宋体"/>
                <w:bCs/>
                <w:sz w:val="24"/>
                <w:szCs w:val="24"/>
              </w:rPr>
              <w:t>1</w:t>
            </w:r>
            <w:r>
              <w:rPr>
                <w:rFonts w:hint="eastAsia" w:ascii="宋体" w:hAnsi="宋体" w:cs="宋体"/>
                <w:bCs/>
                <w:sz w:val="24"/>
                <w:szCs w:val="24"/>
                <w:lang w:val="en-US" w:eastAsia="zh-CN"/>
              </w:rPr>
              <w:t>供应商具有有效的质量管理体系认证证书、环境管理体系认证证书、职业健康安全管理体系认证证书的，每一个证书得1分(提供证书原件，无原件或原件不全均不得分)</w:t>
            </w:r>
            <w:r>
              <w:rPr>
                <w:rFonts w:hint="eastAsia" w:ascii="宋体" w:hAnsi="宋体" w:cs="宋体"/>
                <w:bCs/>
                <w:sz w:val="24"/>
                <w:szCs w:val="24"/>
              </w:rPr>
              <w:t>，最多得</w:t>
            </w:r>
            <w:r>
              <w:rPr>
                <w:rFonts w:hint="eastAsia" w:ascii="宋体" w:hAnsi="宋体" w:cs="宋体"/>
                <w:bCs/>
                <w:sz w:val="24"/>
                <w:szCs w:val="24"/>
                <w:lang w:val="en-US" w:eastAsia="zh-CN"/>
              </w:rPr>
              <w:t>3</w:t>
            </w:r>
            <w:r>
              <w:rPr>
                <w:rFonts w:hint="eastAsia" w:ascii="宋体" w:hAnsi="宋体" w:cs="宋体"/>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29"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603"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（1）拟派项目负责人具有高级工程师得</w:t>
            </w:r>
            <w:r>
              <w:rPr>
                <w:rFonts w:hint="eastAsia" w:ascii="宋体" w:hAnsi="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具有注册咨询师得5分，本项最多</w:t>
            </w:r>
            <w:r>
              <w:rPr>
                <w:rFonts w:hint="eastAsia" w:ascii="宋体" w:hAnsi="宋体" w:cs="宋体"/>
                <w:sz w:val="24"/>
                <w:szCs w:val="24"/>
              </w:rPr>
              <w:t>得</w:t>
            </w:r>
            <w:r>
              <w:rPr>
                <w:rFonts w:hint="eastAsia" w:ascii="宋体" w:hAnsi="宋体" w:cs="宋体"/>
                <w:sz w:val="24"/>
                <w:szCs w:val="24"/>
                <w:lang w:val="en-US" w:eastAsia="zh-CN"/>
              </w:rPr>
              <w:t>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rPr>
              <w:t>（2）除项目负责人外，项目团队成员中：具有建筑工程类、路桥类、市政类中级及以上职称，</w:t>
            </w:r>
            <w:r>
              <w:rPr>
                <w:rFonts w:hint="eastAsia" w:ascii="宋体" w:hAnsi="宋体" w:cs="宋体"/>
                <w:sz w:val="24"/>
                <w:szCs w:val="24"/>
                <w:lang w:val="en-US" w:eastAsia="zh-CN"/>
              </w:rPr>
              <w:t>每有一名</w:t>
            </w:r>
            <w:r>
              <w:rPr>
                <w:rFonts w:hint="eastAsia" w:ascii="宋体" w:hAnsi="宋体" w:cs="宋体"/>
                <w:sz w:val="24"/>
                <w:szCs w:val="24"/>
                <w:lang w:eastAsia="zh-CN"/>
              </w:rPr>
              <w:t>得</w:t>
            </w:r>
            <w:r>
              <w:rPr>
                <w:rFonts w:hint="eastAsia" w:ascii="宋体" w:hAnsi="宋体" w:cs="宋体"/>
                <w:sz w:val="24"/>
                <w:szCs w:val="24"/>
                <w:lang w:val="en-US" w:eastAsia="zh-CN"/>
              </w:rPr>
              <w:t>5</w:t>
            </w:r>
            <w:r>
              <w:rPr>
                <w:rFonts w:hint="eastAsia" w:ascii="宋体" w:hAnsi="宋体" w:cs="宋体"/>
                <w:sz w:val="24"/>
                <w:szCs w:val="24"/>
                <w:lang w:eastAsia="zh-CN"/>
              </w:rPr>
              <w:t>分，</w:t>
            </w:r>
            <w:r>
              <w:rPr>
                <w:rFonts w:hint="eastAsia" w:ascii="宋体" w:hAnsi="宋体" w:cs="宋体"/>
                <w:sz w:val="24"/>
                <w:szCs w:val="24"/>
                <w:lang w:val="en-US" w:eastAsia="zh-CN"/>
              </w:rPr>
              <w:t>最多15分。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本项最高得</w:t>
            </w:r>
            <w:r>
              <w:rPr>
                <w:rFonts w:hint="eastAsia" w:ascii="宋体" w:hAnsi="宋体" w:cs="宋体"/>
                <w:sz w:val="24"/>
                <w:szCs w:val="24"/>
                <w:lang w:val="en-US" w:eastAsia="zh-CN"/>
              </w:rPr>
              <w:t>25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hint="eastAsia" w:ascii="宋体" w:hAnsi="宋体"/>
                <w:bCs/>
                <w:sz w:val="24"/>
                <w:szCs w:val="24"/>
                <w:lang w:val="en-US" w:eastAsia="zh-CN"/>
              </w:rPr>
            </w:pPr>
            <w:r>
              <w:rPr>
                <w:rFonts w:hint="eastAsia" w:ascii="宋体" w:hAnsi="宋体"/>
                <w:bCs/>
                <w:sz w:val="24"/>
                <w:szCs w:val="24"/>
                <w:lang w:val="en-US" w:eastAsia="zh-CN"/>
              </w:rPr>
              <w:t>供应商</w:t>
            </w:r>
          </w:p>
          <w:p>
            <w:pPr>
              <w:spacing w:line="360" w:lineRule="auto"/>
              <w:jc w:val="center"/>
              <w:rPr>
                <w:rFonts w:ascii="宋体" w:hAnsi="宋体"/>
                <w:bCs/>
                <w:sz w:val="24"/>
                <w:szCs w:val="24"/>
              </w:rPr>
            </w:pPr>
            <w:r>
              <w:rPr>
                <w:rFonts w:hint="eastAsia" w:ascii="宋体" w:hAnsi="宋体"/>
                <w:bCs/>
                <w:sz w:val="24"/>
                <w:szCs w:val="24"/>
              </w:rPr>
              <w:t>业绩</w:t>
            </w:r>
          </w:p>
        </w:tc>
        <w:tc>
          <w:tcPr>
            <w:tcW w:w="529"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25</w:t>
            </w:r>
          </w:p>
        </w:tc>
        <w:tc>
          <w:tcPr>
            <w:tcW w:w="3603"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w:t>
            </w:r>
            <w:r>
              <w:rPr>
                <w:rFonts w:hint="eastAsia" w:ascii="宋体" w:hAnsi="宋体"/>
                <w:sz w:val="24"/>
                <w:szCs w:val="24"/>
                <w:lang w:val="en-US" w:eastAsia="zh-CN"/>
              </w:rPr>
              <w:t>1</w:t>
            </w:r>
            <w:r>
              <w:rPr>
                <w:rFonts w:hint="eastAsia" w:ascii="宋体" w:hAnsi="宋体"/>
                <w:sz w:val="24"/>
                <w:szCs w:val="24"/>
              </w:rPr>
              <w:t>年1月1日(含)以来（以合同签订日期为准，无合同签订日期评审小组不予计分</w:t>
            </w:r>
            <w:r>
              <w:rPr>
                <w:rFonts w:hint="eastAsia" w:ascii="宋体" w:hAnsi="宋体"/>
                <w:sz w:val="24"/>
                <w:szCs w:val="24"/>
                <w:lang w:eastAsia="zh-CN"/>
              </w:rPr>
              <w:t>）</w:t>
            </w:r>
            <w:r>
              <w:rPr>
                <w:rFonts w:hint="eastAsia" w:ascii="宋体" w:hAnsi="宋体"/>
                <w:sz w:val="24"/>
                <w:szCs w:val="24"/>
              </w:rPr>
              <w:t>承担过</w:t>
            </w:r>
            <w:r>
              <w:rPr>
                <w:rFonts w:hint="eastAsia" w:ascii="宋体" w:hAnsi="宋体"/>
                <w:sz w:val="24"/>
                <w:szCs w:val="24"/>
                <w:lang w:val="en-US" w:eastAsia="zh-CN"/>
              </w:rPr>
              <w:t>类似项目</w:t>
            </w:r>
            <w:r>
              <w:rPr>
                <w:rFonts w:hint="eastAsia" w:ascii="宋体" w:hAnsi="宋体"/>
                <w:sz w:val="24"/>
                <w:szCs w:val="24"/>
              </w:rPr>
              <w:t>的可研报告编制服务的，</w:t>
            </w:r>
            <w:r>
              <w:rPr>
                <w:rFonts w:hint="eastAsia" w:ascii="宋体" w:hAnsi="宋体"/>
                <w:sz w:val="24"/>
                <w:szCs w:val="24"/>
                <w:lang w:val="en-US" w:eastAsia="zh-CN"/>
              </w:rPr>
              <w:t>且单项项目合同金额需达到10万元以上，</w:t>
            </w:r>
            <w:r>
              <w:rPr>
                <w:rFonts w:hint="eastAsia" w:ascii="宋体" w:hAnsi="宋体"/>
                <w:sz w:val="24"/>
                <w:szCs w:val="24"/>
              </w:rPr>
              <w:t>每提供一个得</w:t>
            </w:r>
            <w:r>
              <w:rPr>
                <w:rFonts w:hint="eastAsia" w:ascii="宋体" w:hAnsi="宋体"/>
                <w:sz w:val="24"/>
                <w:szCs w:val="24"/>
                <w:lang w:val="en-US" w:eastAsia="zh-CN"/>
              </w:rPr>
              <w:t>5</w:t>
            </w:r>
            <w:r>
              <w:rPr>
                <w:rFonts w:hint="eastAsia" w:ascii="宋体" w:hAnsi="宋体"/>
                <w:sz w:val="24"/>
                <w:szCs w:val="24"/>
              </w:rPr>
              <w:t>分，本项最多可以得</w:t>
            </w:r>
            <w:r>
              <w:rPr>
                <w:rFonts w:hint="eastAsia" w:ascii="宋体" w:hAnsi="宋体"/>
                <w:sz w:val="24"/>
                <w:szCs w:val="24"/>
                <w:lang w:val="en-US" w:eastAsia="zh-CN"/>
              </w:rPr>
              <w:t>25</w:t>
            </w:r>
            <w:r>
              <w:rPr>
                <w:rFonts w:hint="eastAsia" w:ascii="宋体" w:hAnsi="宋体"/>
                <w:sz w:val="24"/>
                <w:szCs w:val="24"/>
              </w:rPr>
              <w:t>分，不提供不得分。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合同中如未能体现市政工程的可研报告编制服务内容的，可另行提供合同甲方出具的证明材料，内容格式自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4"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29"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ascii="宋体" w:hAnsi="宋体" w:cs="宋体"/>
                <w:bCs/>
                <w:sz w:val="24"/>
                <w:szCs w:val="24"/>
              </w:rPr>
              <w:t>6</w:t>
            </w:r>
            <w:r>
              <w:rPr>
                <w:rFonts w:hint="eastAsia" w:ascii="宋体" w:hAnsi="宋体" w:cs="宋体"/>
                <w:bCs/>
                <w:sz w:val="24"/>
                <w:szCs w:val="24"/>
              </w:rPr>
              <w:t>.1以通过</w:t>
            </w:r>
            <w:r>
              <w:rPr>
                <w:rFonts w:hint="eastAsia" w:ascii="宋体" w:hAnsi="宋体" w:cs="宋体"/>
                <w:bCs/>
                <w:sz w:val="24"/>
                <w:szCs w:val="24"/>
                <w:lang w:val="en-US" w:eastAsia="zh-CN"/>
              </w:rPr>
              <w:t>初步</w:t>
            </w:r>
            <w:r>
              <w:rPr>
                <w:rFonts w:hint="eastAsia" w:ascii="宋体" w:hAnsi="宋体" w:cs="宋体"/>
                <w:bCs/>
                <w:sz w:val="24"/>
                <w:szCs w:val="24"/>
              </w:rPr>
              <w:t>评审标准的供应商的有效最低报价为评标基准价，满分</w:t>
            </w:r>
            <w:r>
              <w:rPr>
                <w:rFonts w:hint="eastAsia" w:ascii="宋体" w:hAnsi="宋体" w:cs="宋体"/>
                <w:bCs/>
                <w:sz w:val="24"/>
                <w:szCs w:val="24"/>
                <w:lang w:val="en-US" w:eastAsia="zh-CN"/>
              </w:rPr>
              <w:t>3</w:t>
            </w:r>
            <w:r>
              <w:rPr>
                <w:rFonts w:hint="eastAsia" w:ascii="宋体" w:hAnsi="宋体" w:cs="宋体"/>
                <w:bCs/>
                <w:sz w:val="24"/>
                <w:szCs w:val="24"/>
              </w:rPr>
              <w:t>0分，其余供应商的价格分均按照以下方式计算：价格分=（评标基准价/供应商的总投标价）×30%×100。（小数点后面保留两位小数，第三位四舍五入）。</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E601"/>
    <w:multiLevelType w:val="singleLevel"/>
    <w:tmpl w:val="B653E601"/>
    <w:lvl w:ilvl="0" w:tentative="0">
      <w:start w:val="1"/>
      <w:numFmt w:val="decimal"/>
      <w:suff w:val="nothing"/>
      <w:lvlText w:val="（%1）"/>
      <w:lvlJc w:val="left"/>
    </w:lvl>
  </w:abstractNum>
  <w:abstractNum w:abstractNumId="1">
    <w:nsid w:val="DFD21F69"/>
    <w:multiLevelType w:val="singleLevel"/>
    <w:tmpl w:val="DFD21F69"/>
    <w:lvl w:ilvl="0" w:tentative="0">
      <w:start w:val="1"/>
      <w:numFmt w:val="decimal"/>
      <w:suff w:val="nothing"/>
      <w:lvlText w:val="（%1）"/>
      <w:lvlJc w:val="left"/>
    </w:lvl>
  </w:abstractNum>
  <w:abstractNum w:abstractNumId="2">
    <w:nsid w:val="E5E7831F"/>
    <w:multiLevelType w:val="singleLevel"/>
    <w:tmpl w:val="E5E7831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54955C2"/>
    <w:rsid w:val="096C7621"/>
    <w:rsid w:val="0CFE053B"/>
    <w:rsid w:val="125B515C"/>
    <w:rsid w:val="134C6270"/>
    <w:rsid w:val="1E4F279C"/>
    <w:rsid w:val="236169EC"/>
    <w:rsid w:val="25E570E5"/>
    <w:rsid w:val="3095134A"/>
    <w:rsid w:val="341344FC"/>
    <w:rsid w:val="34E5618B"/>
    <w:rsid w:val="368706EE"/>
    <w:rsid w:val="484A6616"/>
    <w:rsid w:val="4B4F78F9"/>
    <w:rsid w:val="60B406D2"/>
    <w:rsid w:val="6D446C1F"/>
    <w:rsid w:val="6EAF319F"/>
    <w:rsid w:val="6F44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rPr>
  </w:style>
  <w:style w:type="paragraph" w:styleId="5">
    <w:name w:val="toc 6"/>
    <w:next w:val="1"/>
    <w:autoRedefine/>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autoRedefine/>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autoRedefine/>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autoRedefine/>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2023-12-11T07:50:00Z</cp:lastPrinted>
  <dcterms:modified xsi:type="dcterms:W3CDTF">2024-01-17T08:19:48Z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6E9EDE2EAFE84CA1B9E5DC3CA0226EFC_13</vt:lpwstr>
  </property>
</Properties>
</file>